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998" w:rsidRDefault="00307328">
      <w:pPr>
        <w:jc w:val="center"/>
        <w:rPr>
          <w:sz w:val="32"/>
        </w:rPr>
      </w:pPr>
      <w:r>
        <w:rPr>
          <w:sz w:val="32"/>
        </w:rPr>
        <w:t>Содержание.</w:t>
      </w:r>
    </w:p>
    <w:p w:rsidR="00AB1998" w:rsidRDefault="00AB1998">
      <w:pPr>
        <w:jc w:val="center"/>
        <w:rPr>
          <w:sz w:val="32"/>
        </w:rPr>
      </w:pPr>
    </w:p>
    <w:p w:rsidR="00AB1998" w:rsidRDefault="00AB1998">
      <w:pPr>
        <w:jc w:val="center"/>
        <w:rPr>
          <w:sz w:val="32"/>
        </w:rPr>
      </w:pPr>
    </w:p>
    <w:p w:rsidR="00AB1998" w:rsidRDefault="00AB1998">
      <w:pPr>
        <w:jc w:val="center"/>
        <w:rPr>
          <w:sz w:val="32"/>
        </w:rPr>
      </w:pPr>
    </w:p>
    <w:p w:rsidR="00AB1998" w:rsidRDefault="00307328">
      <w:pPr>
        <w:numPr>
          <w:ilvl w:val="0"/>
          <w:numId w:val="8"/>
        </w:numPr>
        <w:jc w:val="center"/>
        <w:rPr>
          <w:spacing w:val="30"/>
          <w:sz w:val="34"/>
        </w:rPr>
      </w:pPr>
      <w:r>
        <w:rPr>
          <w:spacing w:val="30"/>
          <w:sz w:val="34"/>
        </w:rPr>
        <w:t>Валютные операции</w:t>
      </w:r>
    </w:p>
    <w:p w:rsidR="00AB1998" w:rsidRDefault="00AB1998">
      <w:pPr>
        <w:rPr>
          <w:spacing w:val="30"/>
          <w:sz w:val="34"/>
        </w:rPr>
      </w:pPr>
    </w:p>
    <w:p w:rsidR="00AB1998" w:rsidRDefault="00307328">
      <w:pPr>
        <w:numPr>
          <w:ilvl w:val="1"/>
          <w:numId w:val="8"/>
        </w:numPr>
        <w:jc w:val="center"/>
        <w:rPr>
          <w:sz w:val="28"/>
        </w:rPr>
      </w:pPr>
      <w:r>
        <w:rPr>
          <w:sz w:val="28"/>
        </w:rPr>
        <w:t>Эволюция</w:t>
      </w:r>
    </w:p>
    <w:p w:rsidR="00AB1998" w:rsidRDefault="00AB1998">
      <w:pPr>
        <w:rPr>
          <w:sz w:val="28"/>
        </w:rPr>
      </w:pPr>
    </w:p>
    <w:p w:rsidR="00AB1998" w:rsidRDefault="00307328">
      <w:pPr>
        <w:numPr>
          <w:ilvl w:val="1"/>
          <w:numId w:val="8"/>
        </w:numPr>
        <w:jc w:val="center"/>
        <w:rPr>
          <w:sz w:val="28"/>
        </w:rPr>
      </w:pPr>
      <w:r>
        <w:rPr>
          <w:sz w:val="28"/>
        </w:rPr>
        <w:t>Виды валютных операций</w:t>
      </w:r>
    </w:p>
    <w:p w:rsidR="00AB1998" w:rsidRDefault="00AB1998">
      <w:pPr>
        <w:rPr>
          <w:sz w:val="28"/>
        </w:rPr>
      </w:pPr>
    </w:p>
    <w:p w:rsidR="00AB1998" w:rsidRDefault="00307328">
      <w:pPr>
        <w:numPr>
          <w:ilvl w:val="2"/>
          <w:numId w:val="8"/>
        </w:numPr>
        <w:jc w:val="center"/>
        <w:rPr>
          <w:sz w:val="26"/>
        </w:rPr>
      </w:pPr>
      <w:r>
        <w:rPr>
          <w:sz w:val="26"/>
        </w:rPr>
        <w:t>Срочные (форвардные) сделки с иностранной валютой</w:t>
      </w:r>
    </w:p>
    <w:p w:rsidR="00AB1998" w:rsidRDefault="00AB1998">
      <w:pPr>
        <w:rPr>
          <w:sz w:val="26"/>
        </w:rPr>
      </w:pPr>
    </w:p>
    <w:p w:rsidR="00AB1998" w:rsidRDefault="00307328">
      <w:pPr>
        <w:numPr>
          <w:ilvl w:val="2"/>
          <w:numId w:val="8"/>
        </w:numPr>
        <w:jc w:val="center"/>
        <w:rPr>
          <w:sz w:val="26"/>
        </w:rPr>
      </w:pPr>
      <w:r>
        <w:rPr>
          <w:sz w:val="26"/>
        </w:rPr>
        <w:t>Валютные операции  «СПОТ»</w:t>
      </w:r>
    </w:p>
    <w:p w:rsidR="00AB1998" w:rsidRDefault="00AB1998">
      <w:pPr>
        <w:rPr>
          <w:sz w:val="26"/>
        </w:rPr>
      </w:pPr>
    </w:p>
    <w:p w:rsidR="00AB1998" w:rsidRDefault="00307328">
      <w:pPr>
        <w:numPr>
          <w:ilvl w:val="2"/>
          <w:numId w:val="8"/>
        </w:numPr>
        <w:jc w:val="center"/>
        <w:rPr>
          <w:sz w:val="26"/>
        </w:rPr>
      </w:pPr>
      <w:r>
        <w:rPr>
          <w:sz w:val="26"/>
        </w:rPr>
        <w:t>Валютные операции  «СВОП»</w:t>
      </w:r>
    </w:p>
    <w:p w:rsidR="00AB1998" w:rsidRDefault="00AB1998">
      <w:pPr>
        <w:rPr>
          <w:sz w:val="26"/>
        </w:rPr>
      </w:pPr>
    </w:p>
    <w:p w:rsidR="00AB1998" w:rsidRDefault="00307328">
      <w:pPr>
        <w:numPr>
          <w:ilvl w:val="1"/>
          <w:numId w:val="8"/>
        </w:numPr>
        <w:jc w:val="center"/>
        <w:rPr>
          <w:sz w:val="28"/>
        </w:rPr>
      </w:pPr>
      <w:r>
        <w:rPr>
          <w:sz w:val="28"/>
        </w:rPr>
        <w:t>Бухгалтерский учет операций с иностранной валютой</w:t>
      </w:r>
    </w:p>
    <w:p w:rsidR="00AB1998" w:rsidRDefault="00AB1998">
      <w:pPr>
        <w:rPr>
          <w:sz w:val="28"/>
        </w:rPr>
      </w:pPr>
    </w:p>
    <w:p w:rsidR="00AB1998" w:rsidRDefault="00307328">
      <w:pPr>
        <w:numPr>
          <w:ilvl w:val="2"/>
          <w:numId w:val="8"/>
        </w:numPr>
        <w:jc w:val="center"/>
        <w:rPr>
          <w:sz w:val="26"/>
        </w:rPr>
      </w:pPr>
      <w:r>
        <w:rPr>
          <w:sz w:val="26"/>
        </w:rPr>
        <w:t>Учет операций по торговле (обмену) наличной валютой</w:t>
      </w:r>
    </w:p>
    <w:p w:rsidR="00AB1998" w:rsidRDefault="00AB1998">
      <w:pPr>
        <w:rPr>
          <w:sz w:val="26"/>
        </w:rPr>
      </w:pPr>
    </w:p>
    <w:p w:rsidR="00AB1998" w:rsidRDefault="00307328">
      <w:pPr>
        <w:numPr>
          <w:ilvl w:val="2"/>
          <w:numId w:val="8"/>
        </w:numPr>
        <w:jc w:val="center"/>
        <w:rPr>
          <w:sz w:val="26"/>
        </w:rPr>
      </w:pPr>
      <w:r>
        <w:rPr>
          <w:sz w:val="26"/>
        </w:rPr>
        <w:t>Учет операций по продаже и покупке безналичной иностранной валюты</w:t>
      </w:r>
    </w:p>
    <w:p w:rsidR="00AB1998" w:rsidRDefault="00AB1998">
      <w:pPr>
        <w:rPr>
          <w:sz w:val="26"/>
        </w:rPr>
      </w:pPr>
    </w:p>
    <w:p w:rsidR="00AB1998" w:rsidRDefault="00307328">
      <w:pPr>
        <w:numPr>
          <w:ilvl w:val="1"/>
          <w:numId w:val="8"/>
        </w:numPr>
        <w:jc w:val="center"/>
        <w:rPr>
          <w:sz w:val="28"/>
        </w:rPr>
      </w:pPr>
      <w:r>
        <w:rPr>
          <w:sz w:val="28"/>
        </w:rPr>
        <w:t>Сегодняшний курс иностранных валют в Украине</w:t>
      </w:r>
    </w:p>
    <w:p w:rsidR="00AB1998" w:rsidRDefault="00AB1998">
      <w:pPr>
        <w:rPr>
          <w:sz w:val="28"/>
        </w:rPr>
      </w:pPr>
    </w:p>
    <w:p w:rsidR="00AB1998" w:rsidRDefault="00307328">
      <w:pPr>
        <w:numPr>
          <w:ilvl w:val="1"/>
          <w:numId w:val="8"/>
        </w:numPr>
        <w:jc w:val="center"/>
        <w:rPr>
          <w:sz w:val="28"/>
        </w:rPr>
      </w:pPr>
      <w:r>
        <w:rPr>
          <w:sz w:val="28"/>
        </w:rPr>
        <w:t>Регулирование и контроль</w:t>
      </w:r>
    </w:p>
    <w:p w:rsidR="00AB1998" w:rsidRDefault="00AB1998">
      <w:pPr>
        <w:rPr>
          <w:sz w:val="28"/>
        </w:rPr>
      </w:pPr>
    </w:p>
    <w:p w:rsidR="00AB1998" w:rsidRDefault="00307328">
      <w:pPr>
        <w:numPr>
          <w:ilvl w:val="0"/>
          <w:numId w:val="8"/>
        </w:numPr>
        <w:jc w:val="center"/>
        <w:rPr>
          <w:spacing w:val="30"/>
          <w:sz w:val="34"/>
        </w:rPr>
      </w:pPr>
      <w:r>
        <w:rPr>
          <w:spacing w:val="30"/>
          <w:sz w:val="34"/>
        </w:rPr>
        <w:t>Валютный арбитраж</w:t>
      </w:r>
    </w:p>
    <w:p w:rsidR="00AB1998" w:rsidRDefault="00AB1998">
      <w:pPr>
        <w:jc w:val="center"/>
        <w:rPr>
          <w:b/>
          <w:spacing w:val="20"/>
          <w:sz w:val="34"/>
        </w:rPr>
      </w:pPr>
    </w:p>
    <w:p w:rsidR="00AB1998" w:rsidRDefault="00AB1998">
      <w:pPr>
        <w:jc w:val="center"/>
        <w:rPr>
          <w:b/>
          <w:spacing w:val="20"/>
          <w:sz w:val="34"/>
        </w:rPr>
      </w:pPr>
    </w:p>
    <w:p w:rsidR="00AB1998" w:rsidRDefault="00307328">
      <w:pPr>
        <w:pStyle w:val="6"/>
      </w:pPr>
      <w:r>
        <w:t>Список литературы</w:t>
      </w: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rPr>
          <w:sz w:val="28"/>
        </w:rPr>
      </w:pPr>
    </w:p>
    <w:p w:rsidR="00AB1998" w:rsidRDefault="00AB1998">
      <w:pPr>
        <w:jc w:val="both"/>
        <w:rPr>
          <w:sz w:val="28"/>
        </w:rPr>
      </w:pPr>
    </w:p>
    <w:p w:rsidR="00AB1998" w:rsidRDefault="00307328">
      <w:pPr>
        <w:jc w:val="center"/>
        <w:rPr>
          <w:shadow/>
          <w:spacing w:val="30"/>
          <w:sz w:val="30"/>
        </w:rPr>
      </w:pPr>
      <w:r>
        <w:rPr>
          <w:shadow/>
          <w:spacing w:val="30"/>
          <w:sz w:val="30"/>
        </w:rPr>
        <w:t>1. Валютные операции.</w:t>
      </w:r>
    </w:p>
    <w:p w:rsidR="00AB1998" w:rsidRDefault="00AB1998">
      <w:pPr>
        <w:jc w:val="both"/>
        <w:rPr>
          <w:sz w:val="28"/>
        </w:rPr>
      </w:pPr>
    </w:p>
    <w:p w:rsidR="00AB1998" w:rsidRDefault="00307328">
      <w:pPr>
        <w:jc w:val="center"/>
        <w:rPr>
          <w:shadow/>
          <w:sz w:val="28"/>
        </w:rPr>
      </w:pPr>
      <w:r>
        <w:rPr>
          <w:shadow/>
          <w:sz w:val="28"/>
        </w:rPr>
        <w:t>1.2. Эволюция.</w:t>
      </w:r>
    </w:p>
    <w:p w:rsidR="00AB1998" w:rsidRDefault="00AB1998">
      <w:pPr>
        <w:jc w:val="center"/>
        <w:rPr>
          <w:b/>
          <w:sz w:val="24"/>
          <w:lang w:val="uk-UA"/>
        </w:rPr>
      </w:pPr>
    </w:p>
    <w:p w:rsidR="00AB1998" w:rsidRDefault="00307328">
      <w:pPr>
        <w:ind w:firstLine="720"/>
        <w:jc w:val="both"/>
        <w:rPr>
          <w:sz w:val="24"/>
        </w:rPr>
      </w:pPr>
      <w:r>
        <w:rPr>
          <w:sz w:val="24"/>
          <w:lang w:val="uk-UA"/>
        </w:rPr>
        <w:t>Исторически в международном обороте различались два основных способа платежа</w:t>
      </w:r>
      <w:r>
        <w:rPr>
          <w:sz w:val="24"/>
          <w:lang w:val="en-US"/>
        </w:rPr>
        <w:t>:</w:t>
      </w:r>
      <w:r>
        <w:rPr>
          <w:sz w:val="24"/>
          <w:lang w:val="uk-UA"/>
        </w:rPr>
        <w:t xml:space="preserve"> трассирование и ремитирование</w:t>
      </w:r>
      <w:r>
        <w:rPr>
          <w:sz w:val="24"/>
          <w:lang w:val="en-US"/>
        </w:rPr>
        <w:t>.</w:t>
      </w:r>
      <w:r>
        <w:rPr>
          <w:sz w:val="24"/>
        </w:rPr>
        <w:t xml:space="preserve"> При трассировании кредитор выписывает тратту на должника в его валюте</w:t>
      </w:r>
      <w:r>
        <w:rPr>
          <w:sz w:val="24"/>
          <w:lang w:val="en-US"/>
        </w:rPr>
        <w:t xml:space="preserve"> (например</w:t>
      </w:r>
      <w:r>
        <w:rPr>
          <w:sz w:val="24"/>
          <w:lang w:val="de-DE"/>
        </w:rPr>
        <w:t>,</w:t>
      </w:r>
      <w:r>
        <w:rPr>
          <w:sz w:val="24"/>
        </w:rPr>
        <w:t xml:space="preserve"> кредитор в Нью-Йорке предъявляет должнику в Лондоне требование об уплате долга в фунтах стерлингов) и продает ее на своем валютном рынке по банковскому курсу покупателя</w:t>
      </w:r>
      <w:r>
        <w:rPr>
          <w:sz w:val="24"/>
          <w:lang w:val="en-US"/>
        </w:rPr>
        <w:t>.</w:t>
      </w:r>
      <w:r>
        <w:rPr>
          <w:sz w:val="24"/>
          <w:lang w:val="uk-UA"/>
        </w:rPr>
        <w:t xml:space="preserve"> При трассировании кредитор – активное лицо </w:t>
      </w:r>
      <w:r>
        <w:rPr>
          <w:sz w:val="24"/>
          <w:lang w:val="en-US"/>
        </w:rPr>
        <w:t>:</w:t>
      </w:r>
      <w:r>
        <w:rPr>
          <w:sz w:val="24"/>
        </w:rPr>
        <w:t xml:space="preserve"> он продает вексель в валюте должника на своем валютном рынке. При ремитировании должник – активное лицо</w:t>
      </w:r>
      <w:r>
        <w:rPr>
          <w:sz w:val="24"/>
          <w:lang w:val="en-US"/>
        </w:rPr>
        <w:t>:</w:t>
      </w:r>
      <w:r>
        <w:rPr>
          <w:sz w:val="24"/>
        </w:rPr>
        <w:t xml:space="preserve"> он покупает валюту кредитора на своем валютном рынке по курсу  продавца. Применявшиеся в международном обороте до первой мировой войны и в меньшей мере в межвоенный период разнообразные способы платежа</w:t>
      </w:r>
      <w:r>
        <w:rPr>
          <w:sz w:val="24"/>
          <w:lang w:val="en-US"/>
        </w:rPr>
        <w:t xml:space="preserve">, </w:t>
      </w:r>
      <w:r>
        <w:rPr>
          <w:sz w:val="24"/>
        </w:rPr>
        <w:t>основанные на ремитировании и трассировании и обслуживавшие валютные операции</w:t>
      </w:r>
      <w:r>
        <w:rPr>
          <w:sz w:val="24"/>
          <w:lang w:val="en-US"/>
        </w:rPr>
        <w:t xml:space="preserve">, </w:t>
      </w:r>
      <w:r>
        <w:rPr>
          <w:sz w:val="24"/>
        </w:rPr>
        <w:t>постепенно изжили как самостоятельный способ расчетов.</w:t>
      </w:r>
    </w:p>
    <w:p w:rsidR="00AB1998" w:rsidRDefault="00307328">
      <w:pPr>
        <w:ind w:firstLine="851"/>
        <w:jc w:val="both"/>
        <w:rPr>
          <w:sz w:val="24"/>
        </w:rPr>
      </w:pPr>
      <w:r>
        <w:rPr>
          <w:sz w:val="24"/>
        </w:rPr>
        <w:t>После второй мировой войны получили широкое развитие различные виды валютных операций. В период распространения валютных ограничений до конца 50-х годов в промышленно развитых странах преобладали валютные сделки с немедленной поставкой валют (</w:t>
      </w:r>
      <w:r>
        <w:rPr>
          <w:sz w:val="24"/>
          <w:lang w:val="en-US"/>
        </w:rPr>
        <w:t>“</w:t>
      </w:r>
      <w:r>
        <w:rPr>
          <w:sz w:val="24"/>
        </w:rPr>
        <w:t>спот</w:t>
      </w:r>
      <w:r>
        <w:rPr>
          <w:sz w:val="24"/>
          <w:lang w:val="en-US"/>
        </w:rPr>
        <w:t>”)</w:t>
      </w:r>
      <w:r>
        <w:rPr>
          <w:sz w:val="24"/>
        </w:rPr>
        <w:t xml:space="preserve"> и срочные (форвардные) сделки</w:t>
      </w:r>
      <w:r>
        <w:rPr>
          <w:sz w:val="24"/>
          <w:lang w:val="en-US"/>
        </w:rPr>
        <w:t>,</w:t>
      </w:r>
      <w:r>
        <w:rPr>
          <w:sz w:val="24"/>
        </w:rPr>
        <w:t xml:space="preserve"> причем последние зачастую были объектом  валютного регулирования. Либерализация валютного законодательства на рубеже 50-х и 60-х годов привела к развитию операций </w:t>
      </w:r>
      <w:r>
        <w:rPr>
          <w:sz w:val="24"/>
          <w:lang w:val="uk-UA"/>
        </w:rPr>
        <w:t>“</w:t>
      </w:r>
      <w:r>
        <w:rPr>
          <w:sz w:val="24"/>
        </w:rPr>
        <w:t>своп</w:t>
      </w:r>
      <w:r>
        <w:rPr>
          <w:sz w:val="24"/>
          <w:lang w:val="uk-UA"/>
        </w:rPr>
        <w:t>”</w:t>
      </w:r>
      <w:r>
        <w:rPr>
          <w:sz w:val="24"/>
        </w:rPr>
        <w:t xml:space="preserve"> вместо ранее практиковавшегося обмена депозитами в различных валютах. Дальнейшее развитие срочных валютных сделок было связанно с либерализацией движения капиталов</w:t>
      </w:r>
      <w:r>
        <w:rPr>
          <w:sz w:val="24"/>
          <w:lang w:val="en-US"/>
        </w:rPr>
        <w:t xml:space="preserve">, </w:t>
      </w:r>
      <w:r>
        <w:rPr>
          <w:sz w:val="24"/>
        </w:rPr>
        <w:t>вызвавших потребность в хеджировании (страховании рисков) дополнительно  к традиционным операциям по покрытию рисков  по торговым операциям. Усилившийся контроль со стороны наблюдательных органов за состоянием банковских балансов также способствовал замене ранее  практиковавшихся валютных операций по страхованию рисков</w:t>
      </w:r>
      <w:r>
        <w:rPr>
          <w:sz w:val="24"/>
          <w:lang w:val="en-US"/>
        </w:rPr>
        <w:t>,</w:t>
      </w:r>
      <w:r>
        <w:rPr>
          <w:sz w:val="24"/>
        </w:rPr>
        <w:t xml:space="preserve"> отражавших в балансах</w:t>
      </w:r>
      <w:r>
        <w:rPr>
          <w:sz w:val="24"/>
          <w:lang w:val="en-US"/>
        </w:rPr>
        <w:t>,</w:t>
      </w:r>
      <w:r>
        <w:rPr>
          <w:sz w:val="24"/>
        </w:rPr>
        <w:t xml:space="preserve"> срочными валютными сделками и операциями </w:t>
      </w:r>
      <w:r>
        <w:rPr>
          <w:sz w:val="24"/>
          <w:lang w:val="uk-UA"/>
        </w:rPr>
        <w:t>“</w:t>
      </w:r>
      <w:r>
        <w:rPr>
          <w:sz w:val="24"/>
        </w:rPr>
        <w:t>своп</w:t>
      </w:r>
      <w:r>
        <w:rPr>
          <w:sz w:val="24"/>
          <w:lang w:val="uk-UA"/>
        </w:rPr>
        <w:t>”</w:t>
      </w:r>
      <w:r>
        <w:rPr>
          <w:sz w:val="24"/>
          <w:lang w:val="en-US"/>
        </w:rPr>
        <w:t xml:space="preserve">,  </w:t>
      </w:r>
      <w:r>
        <w:rPr>
          <w:sz w:val="24"/>
        </w:rPr>
        <w:t xml:space="preserve">так как они учитываются на внебалансовых счетах. </w:t>
      </w:r>
    </w:p>
    <w:p w:rsidR="00AB1998" w:rsidRDefault="00307328">
      <w:pPr>
        <w:ind w:firstLine="851"/>
        <w:jc w:val="both"/>
        <w:rPr>
          <w:sz w:val="24"/>
        </w:rPr>
      </w:pPr>
      <w:r>
        <w:rPr>
          <w:sz w:val="24"/>
        </w:rPr>
        <w:t>С 70-х годов развиваются фьючерсные сделки на ряде бирж</w:t>
      </w:r>
      <w:r>
        <w:rPr>
          <w:sz w:val="24"/>
          <w:lang w:val="en-US"/>
        </w:rPr>
        <w:t>,</w:t>
      </w:r>
      <w:r>
        <w:rPr>
          <w:sz w:val="24"/>
        </w:rPr>
        <w:t xml:space="preserve"> хотя они не являются стандартной операцией межбанковского рынка</w:t>
      </w:r>
      <w:r>
        <w:rPr>
          <w:sz w:val="24"/>
          <w:lang w:val="en-US"/>
        </w:rPr>
        <w:t>, и опционные валютные сделки – новая форма спекулятивных сделок  и хеджирования  от валютных рисков,</w:t>
      </w:r>
      <w:r>
        <w:rPr>
          <w:sz w:val="24"/>
        </w:rPr>
        <w:t xml:space="preserve"> особенно когда товарная сделка</w:t>
      </w:r>
      <w:r>
        <w:rPr>
          <w:sz w:val="24"/>
          <w:lang w:val="en-US"/>
        </w:rPr>
        <w:t>,</w:t>
      </w:r>
      <w:r>
        <w:rPr>
          <w:sz w:val="24"/>
        </w:rPr>
        <w:t xml:space="preserve"> создающая риск</w:t>
      </w:r>
      <w:r>
        <w:rPr>
          <w:sz w:val="24"/>
          <w:lang w:val="en-US"/>
        </w:rPr>
        <w:t>,</w:t>
      </w:r>
      <w:r>
        <w:rPr>
          <w:sz w:val="24"/>
        </w:rPr>
        <w:t xml:space="preserve"> возможна</w:t>
      </w:r>
      <w:r>
        <w:rPr>
          <w:sz w:val="24"/>
          <w:lang w:val="en-US"/>
        </w:rPr>
        <w:t>, но не обеспечена (например,</w:t>
      </w:r>
      <w:r>
        <w:rPr>
          <w:sz w:val="24"/>
        </w:rPr>
        <w:t xml:space="preserve"> при участии в торгах). Банки стали совершать валютные сделки в сочетании с операциями по </w:t>
      </w:r>
      <w:r>
        <w:rPr>
          <w:sz w:val="24"/>
          <w:lang w:val="en-US"/>
        </w:rPr>
        <w:t>“</w:t>
      </w:r>
      <w:r>
        <w:rPr>
          <w:sz w:val="24"/>
        </w:rPr>
        <w:t>свопу</w:t>
      </w:r>
      <w:r>
        <w:rPr>
          <w:sz w:val="24"/>
          <w:lang w:val="en-US"/>
        </w:rPr>
        <w:t xml:space="preserve"> “ процентных ставок. Наличные валютные операции осуществляет большинство банков;</w:t>
      </w:r>
      <w:r>
        <w:rPr>
          <w:sz w:val="24"/>
        </w:rPr>
        <w:t xml:space="preserve"> срочные операции и </w:t>
      </w:r>
      <w:r>
        <w:rPr>
          <w:sz w:val="24"/>
          <w:lang w:val="en-US"/>
        </w:rPr>
        <w:t>“</w:t>
      </w:r>
      <w:r>
        <w:rPr>
          <w:sz w:val="24"/>
        </w:rPr>
        <w:t>своп</w:t>
      </w:r>
      <w:r>
        <w:rPr>
          <w:sz w:val="24"/>
          <w:lang w:val="en-US"/>
        </w:rPr>
        <w:t xml:space="preserve"> “</w:t>
      </w:r>
      <w:r>
        <w:rPr>
          <w:sz w:val="24"/>
        </w:rPr>
        <w:t>-сделки – в основном более крупные банки</w:t>
      </w:r>
      <w:r>
        <w:rPr>
          <w:sz w:val="24"/>
          <w:lang w:val="en-US"/>
        </w:rPr>
        <w:t>;</w:t>
      </w:r>
      <w:r>
        <w:rPr>
          <w:sz w:val="24"/>
        </w:rPr>
        <w:t xml:space="preserve"> регулярные опционные операции – крупнейшие банки. </w:t>
      </w: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jc w:val="both"/>
        <w:rPr>
          <w:sz w:val="24"/>
        </w:rPr>
      </w:pPr>
    </w:p>
    <w:p w:rsidR="00AB1998" w:rsidRDefault="00307328">
      <w:pPr>
        <w:jc w:val="center"/>
        <w:rPr>
          <w:shadow/>
          <w:sz w:val="28"/>
        </w:rPr>
      </w:pPr>
      <w:r>
        <w:rPr>
          <w:shadow/>
          <w:sz w:val="28"/>
        </w:rPr>
        <w:t>1.3. Виды валютных операций.</w:t>
      </w:r>
    </w:p>
    <w:p w:rsidR="00AB1998" w:rsidRDefault="00AB1998">
      <w:pPr>
        <w:jc w:val="center"/>
        <w:rPr>
          <w:shadow/>
          <w:sz w:val="28"/>
        </w:rPr>
      </w:pPr>
    </w:p>
    <w:p w:rsidR="00AB1998" w:rsidRDefault="00307328">
      <w:pPr>
        <w:jc w:val="center"/>
        <w:rPr>
          <w:shadow/>
          <w:sz w:val="28"/>
        </w:rPr>
      </w:pPr>
      <w:r>
        <w:rPr>
          <w:shadow/>
          <w:sz w:val="28"/>
        </w:rPr>
        <w:t>1.3.1. Срочные (форвардные) сделки с иностранной валютой.</w:t>
      </w:r>
    </w:p>
    <w:p w:rsidR="00AB1998" w:rsidRDefault="00AB1998">
      <w:pPr>
        <w:jc w:val="center"/>
        <w:rPr>
          <w:b/>
          <w:sz w:val="28"/>
          <w:lang w:val="en-US"/>
        </w:rPr>
      </w:pPr>
    </w:p>
    <w:p w:rsidR="00AB1998" w:rsidRDefault="00307328">
      <w:pPr>
        <w:ind w:firstLine="851"/>
        <w:jc w:val="both"/>
        <w:rPr>
          <w:sz w:val="24"/>
          <w:lang w:val="en-US"/>
        </w:rPr>
      </w:pPr>
      <w:r>
        <w:rPr>
          <w:sz w:val="24"/>
          <w:lang w:val="en-US"/>
        </w:rPr>
        <w:t>Срочные валютные сделки (форвардные, фьючерсные) - это валютные сделки, при которых стороны договариваются о поставке обусловленной суммы иностранной валюты через определенный срок после заключения сделки по курсу, зафиксированному в момент ее заключения. Из этого определения вытекают две особенности срочных валютных операций.</w:t>
      </w:r>
    </w:p>
    <w:p w:rsidR="00AB1998" w:rsidRDefault="00307328">
      <w:pPr>
        <w:numPr>
          <w:ilvl w:val="0"/>
          <w:numId w:val="16"/>
        </w:numPr>
        <w:tabs>
          <w:tab w:val="num" w:pos="1811"/>
        </w:tabs>
        <w:rPr>
          <w:sz w:val="24"/>
        </w:rPr>
      </w:pPr>
      <w:r>
        <w:rPr>
          <w:sz w:val="24"/>
        </w:rPr>
        <w:t>Существует интервал во времени между моментом заключения и исполнения сделки. В современных условиях срок исполнения сделки, т. е. поставки валюты, определяется как конец периода от даты заключения сделки (срок 1-2 недели, 1,2,3,6,12 месяцев и до 5 лет) или любой другой период в пределах срока.</w:t>
      </w:r>
    </w:p>
    <w:p w:rsidR="00AB1998" w:rsidRDefault="00307328">
      <w:pPr>
        <w:numPr>
          <w:ilvl w:val="0"/>
          <w:numId w:val="16"/>
        </w:numPr>
        <w:tabs>
          <w:tab w:val="num" w:pos="1811"/>
        </w:tabs>
        <w:rPr>
          <w:sz w:val="24"/>
        </w:rPr>
      </w:pPr>
      <w:r>
        <w:rPr>
          <w:sz w:val="24"/>
        </w:rPr>
        <w:t>Курс валют по срочной валютной операции фиксируется в момент заключения сделки, хотя она исполняется через определенный срок.</w:t>
      </w:r>
    </w:p>
    <w:p w:rsidR="00AB1998" w:rsidRDefault="00307328">
      <w:pPr>
        <w:rPr>
          <w:sz w:val="24"/>
        </w:rPr>
      </w:pPr>
      <w:r>
        <w:rPr>
          <w:sz w:val="24"/>
        </w:rPr>
        <w:t>Срочные сделки с иностранной валютой совершаются в следующих целях</w:t>
      </w:r>
      <w:r>
        <w:rPr>
          <w:sz w:val="24"/>
          <w:lang w:val="en-US"/>
        </w:rPr>
        <w:t>:</w:t>
      </w:r>
    </w:p>
    <w:p w:rsidR="00AB1998" w:rsidRDefault="00307328">
      <w:pPr>
        <w:numPr>
          <w:ilvl w:val="0"/>
          <w:numId w:val="17"/>
        </w:numPr>
        <w:rPr>
          <w:sz w:val="24"/>
        </w:rPr>
      </w:pPr>
      <w:r>
        <w:rPr>
          <w:sz w:val="24"/>
        </w:rPr>
        <w:t>конверсия (обмен) валюты в коммерческих целях, заблаговременная продажа валютных поступлений или покупка иностранной валюты для предстоящих платежей, чтобы застраховать валютный риск</w:t>
      </w:r>
      <w:r>
        <w:rPr>
          <w:sz w:val="24"/>
          <w:lang w:val="en-US"/>
        </w:rPr>
        <w:t>;</w:t>
      </w:r>
    </w:p>
    <w:p w:rsidR="00AB1998" w:rsidRDefault="00307328">
      <w:pPr>
        <w:numPr>
          <w:ilvl w:val="0"/>
          <w:numId w:val="17"/>
        </w:numPr>
        <w:rPr>
          <w:sz w:val="24"/>
        </w:rPr>
      </w:pPr>
      <w:r>
        <w:rPr>
          <w:sz w:val="24"/>
        </w:rPr>
        <w:t>страхование портфельных или прямых капиталовложений за границей от убытков в связи с возможным понижением курса валюты, в которой они осуществлены</w:t>
      </w:r>
      <w:r>
        <w:rPr>
          <w:sz w:val="24"/>
          <w:lang w:val="en-US"/>
        </w:rPr>
        <w:t>;</w:t>
      </w:r>
    </w:p>
    <w:p w:rsidR="00AB1998" w:rsidRDefault="00307328">
      <w:pPr>
        <w:numPr>
          <w:ilvl w:val="0"/>
          <w:numId w:val="17"/>
        </w:numPr>
        <w:rPr>
          <w:sz w:val="24"/>
        </w:rPr>
      </w:pPr>
      <w:r>
        <w:rPr>
          <w:sz w:val="24"/>
        </w:rPr>
        <w:t xml:space="preserve"> получение спекулятивной прибыли за счет курсовой разницы.</w:t>
      </w:r>
    </w:p>
    <w:p w:rsidR="00AB1998" w:rsidRDefault="00307328">
      <w:pPr>
        <w:ind w:firstLine="900"/>
        <w:jc w:val="both"/>
        <w:rPr>
          <w:sz w:val="24"/>
        </w:rPr>
      </w:pPr>
      <w:r>
        <w:rPr>
          <w:sz w:val="24"/>
        </w:rPr>
        <w:t>Использование срочных сделок для покрытия валютного риска при совершении коммерческих операций приобрело широкое распространение в конце 60-х начале 70-х годов в условиях кризиса Бреттонвудской валютной системы и перехода к плавающим валютным курсам.</w:t>
      </w: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307328">
      <w:pPr>
        <w:jc w:val="center"/>
        <w:rPr>
          <w:shadow/>
          <w:sz w:val="28"/>
        </w:rPr>
      </w:pPr>
      <w:r>
        <w:rPr>
          <w:shadow/>
          <w:sz w:val="28"/>
        </w:rPr>
        <w:t>1.3.2. Валютные операции «СПОТ».</w:t>
      </w:r>
    </w:p>
    <w:p w:rsidR="00AB1998" w:rsidRDefault="00AB1998">
      <w:pPr>
        <w:jc w:val="center"/>
        <w:rPr>
          <w:b/>
          <w:shadow/>
          <w:sz w:val="28"/>
        </w:rPr>
      </w:pPr>
    </w:p>
    <w:p w:rsidR="00AB1998" w:rsidRDefault="00307328">
      <w:pPr>
        <w:ind w:firstLine="851"/>
        <w:jc w:val="both"/>
        <w:rPr>
          <w:sz w:val="24"/>
        </w:rPr>
      </w:pPr>
      <w:r>
        <w:rPr>
          <w:sz w:val="24"/>
        </w:rPr>
        <w:t>Эти операции наиболее распространены и составляют до 90% объема валютных сделок. Их сущность заключается в купле-продаже валюты на условиях ее поставки банками-контрагентами на второй рабочий день со дня заключения сделки по курсу, зафиксированному в момент ее заключения. При этом считаются рабочие дни по каждой из валют, участвующих в сделке, т. е. если следующий день за датой сделки является нерабочим для одной валюты, срок поставки валют увеличивается на 1 день, но если последующий день нерабочий для другой валюты, то срок поставки увеличивается еще на 1 день. Для сделок, заключенных в четверг, нормальный срок поставки - понедельник, в пятницу-вторник (суббота и воскресенье - нерабочие дни).</w:t>
      </w:r>
    </w:p>
    <w:p w:rsidR="00AB1998" w:rsidRDefault="00307328">
      <w:pPr>
        <w:ind w:firstLine="851"/>
        <w:jc w:val="both"/>
        <w:rPr>
          <w:sz w:val="24"/>
        </w:rPr>
      </w:pPr>
      <w:r>
        <w:rPr>
          <w:sz w:val="24"/>
        </w:rPr>
        <w:t xml:space="preserve">По сделкам </w:t>
      </w:r>
      <w:r>
        <w:rPr>
          <w:sz w:val="24"/>
          <w:lang w:val="en-US"/>
        </w:rPr>
        <w:t>"</w:t>
      </w:r>
      <w:r>
        <w:rPr>
          <w:sz w:val="24"/>
        </w:rPr>
        <w:t>спот</w:t>
      </w:r>
      <w:r>
        <w:rPr>
          <w:sz w:val="24"/>
          <w:lang w:val="en-US"/>
        </w:rPr>
        <w:t xml:space="preserve">" </w:t>
      </w:r>
      <w:r>
        <w:rPr>
          <w:sz w:val="24"/>
        </w:rPr>
        <w:t>поставка валюты осуществляется на счета, указанные банками - получателями. Двухдневный срок перевода валют по заключенной сделке ранее диктовался объективными трудностями осуществить его в более короткий срок.</w:t>
      </w:r>
    </w:p>
    <w:p w:rsidR="00AB1998" w:rsidRDefault="00307328">
      <w:pPr>
        <w:ind w:firstLine="851"/>
        <w:jc w:val="both"/>
        <w:rPr>
          <w:sz w:val="24"/>
          <w:lang w:val="en-US"/>
        </w:rPr>
      </w:pPr>
      <w:r>
        <w:rPr>
          <w:sz w:val="24"/>
        </w:rPr>
        <w:t xml:space="preserve">Валютные операции с немедленной поставкой являются самым мобильным элементом валютной позиции и заключают в себе определенный риск. С помощью операции </w:t>
      </w:r>
      <w:r>
        <w:rPr>
          <w:sz w:val="24"/>
          <w:lang w:val="en-US"/>
        </w:rPr>
        <w:t>"спот" банки обеспечивают потребности своих клиентов в иностранной валюте, перелив капиталов, в том числе "горячих" денег, из одной валюты в другую, осуществляют арбитражные и спекулятивные операции.</w:t>
      </w:r>
    </w:p>
    <w:p w:rsidR="00AB1998" w:rsidRDefault="00AB1998">
      <w:pPr>
        <w:ind w:firstLine="851"/>
        <w:jc w:val="both"/>
        <w:rPr>
          <w:sz w:val="24"/>
          <w:lang w:val="en-US"/>
        </w:rPr>
      </w:pPr>
    </w:p>
    <w:p w:rsidR="00AB1998" w:rsidRDefault="00AB1998">
      <w:pPr>
        <w:ind w:firstLine="851"/>
        <w:jc w:val="both"/>
        <w:rPr>
          <w:sz w:val="24"/>
          <w:lang w:val="en-US"/>
        </w:rPr>
      </w:pPr>
    </w:p>
    <w:p w:rsidR="00AB1998" w:rsidRDefault="00307328">
      <w:pPr>
        <w:jc w:val="center"/>
        <w:rPr>
          <w:shadow/>
          <w:sz w:val="28"/>
        </w:rPr>
      </w:pPr>
      <w:r>
        <w:rPr>
          <w:shadow/>
          <w:sz w:val="28"/>
          <w:lang w:val="en-US"/>
        </w:rPr>
        <w:t>1.3.3. Валютные операции</w:t>
      </w:r>
      <w:r>
        <w:rPr>
          <w:sz w:val="24"/>
          <w:lang w:val="en-US"/>
        </w:rPr>
        <w:t xml:space="preserve"> </w:t>
      </w:r>
      <w:r>
        <w:rPr>
          <w:shadow/>
          <w:sz w:val="28"/>
        </w:rPr>
        <w:t>«СВОП».</w:t>
      </w:r>
    </w:p>
    <w:p w:rsidR="00AB1998" w:rsidRDefault="00AB1998">
      <w:pPr>
        <w:jc w:val="center"/>
        <w:rPr>
          <w:sz w:val="24"/>
          <w:lang w:val="en-US"/>
        </w:rPr>
      </w:pPr>
    </w:p>
    <w:p w:rsidR="00AB1998" w:rsidRDefault="00307328">
      <w:pPr>
        <w:ind w:firstLine="900"/>
        <w:jc w:val="both"/>
        <w:rPr>
          <w:sz w:val="24"/>
          <w:lang w:val="en-US"/>
        </w:rPr>
      </w:pPr>
      <w:r>
        <w:rPr>
          <w:sz w:val="24"/>
          <w:lang w:val="en-US"/>
        </w:rPr>
        <w:t>Разновидностью валютной сделки, сочетающей наличную операции, являются сделки "своп". Подобные сделки известны со времен средневековья, когда итальянские  банкиры проводили операции с векселями; позднее они получили развитие в форме репортных и депортных операций. Репорт-сочетание двух взаимно связанных сделок: наличной продажи иностранной валюты и покупки ее на срок. Депорт- это сочетание тех же сделок, но в обратном порядке: покупка иностранной валюты на условиях "спот" и продажа на срок этой же валюты.</w:t>
      </w:r>
    </w:p>
    <w:p w:rsidR="00AB1998" w:rsidRDefault="00307328">
      <w:pPr>
        <w:ind w:firstLine="900"/>
        <w:jc w:val="both"/>
        <w:rPr>
          <w:sz w:val="24"/>
          <w:lang w:val="en-US"/>
        </w:rPr>
      </w:pPr>
      <w:r>
        <w:rPr>
          <w:sz w:val="24"/>
          <w:lang w:val="en-US"/>
        </w:rPr>
        <w:t>Позднее операции "своп" приобрели форму обмена банками депозитами в различных валютах на эквивалентные суммы. Недостатком подобной операции являлось увеличение баланса банка на сумму этой операции, что ухудшало его коэффициенты и создавало дополнительные риски. Валютная операция "своп" разрешает эти проблемы: учет обязательств осуществляется на внебалансовых статьях, обмен валют совершается в форме купли- продажи, т. е. единой сделки.</w:t>
      </w:r>
    </w:p>
    <w:p w:rsidR="00AB1998" w:rsidRDefault="00307328">
      <w:pPr>
        <w:pStyle w:val="20"/>
      </w:pPr>
      <w:r>
        <w:t>"Своп" - это валютная операция, сочетающая куплю-продажу двух валют на условиях немедленной поставки с одновременной контрсделкой на определенный срок с теми же валютами. При этом договариваются о встречных платежах два партнера (банки, корпорации и др.). По операциям "своп" наличная сделка осуществляется по курсу "спот", который в контрсделке (срочный) корректируется с учетом премии или дисконта в зависимости от движения валютного курса. При этом клиент экономит на марже - разнице между курсами продавца и покупателя по наличной сделке. Операции "своп" удобны для банков: они не создают открытой позиции (покупка покрывается продажей), временно обеспечивают необходимой валютой без риска, связанного с изменением ее курса. Операции "своп" используются для:</w:t>
      </w:r>
    </w:p>
    <w:p w:rsidR="00AB1998" w:rsidRDefault="00307328">
      <w:pPr>
        <w:numPr>
          <w:ilvl w:val="0"/>
          <w:numId w:val="18"/>
        </w:numPr>
        <w:rPr>
          <w:sz w:val="24"/>
          <w:lang w:val="en-US"/>
        </w:rPr>
      </w:pPr>
      <w:r>
        <w:rPr>
          <w:sz w:val="24"/>
          <w:lang w:val="en-US"/>
        </w:rPr>
        <w:t>совершения коммерческих сделок: банк продает иностранную валюту на условиях немедленной поставки и одновременно покупает ее на срок.</w:t>
      </w:r>
    </w:p>
    <w:p w:rsidR="00AB1998" w:rsidRDefault="00307328">
      <w:pPr>
        <w:numPr>
          <w:ilvl w:val="0"/>
          <w:numId w:val="18"/>
        </w:numPr>
        <w:rPr>
          <w:sz w:val="24"/>
          <w:lang w:val="en-US"/>
        </w:rPr>
      </w:pPr>
      <w:r>
        <w:rPr>
          <w:sz w:val="24"/>
          <w:lang w:val="en-US"/>
        </w:rPr>
        <w:t>приобретения банком необходимой валюты без валютного риска (на основе покрытия конрсделкой) для обеспечения международных расчетов, диверсификации валютных авуаров.</w:t>
      </w:r>
    </w:p>
    <w:p w:rsidR="00AB1998" w:rsidRDefault="00307328">
      <w:pPr>
        <w:numPr>
          <w:ilvl w:val="0"/>
          <w:numId w:val="18"/>
        </w:numPr>
        <w:rPr>
          <w:sz w:val="24"/>
          <w:lang w:val="en-US"/>
        </w:rPr>
      </w:pPr>
      <w:r>
        <w:rPr>
          <w:sz w:val="24"/>
          <w:lang w:val="en-US"/>
        </w:rPr>
        <w:t>взаимного межбанковского кредитования в двух валютах.</w:t>
      </w:r>
    </w:p>
    <w:p w:rsidR="00AB1998" w:rsidRDefault="00307328">
      <w:pPr>
        <w:ind w:firstLine="720"/>
        <w:jc w:val="both"/>
        <w:rPr>
          <w:sz w:val="24"/>
          <w:lang w:val="en-US"/>
        </w:rPr>
      </w:pPr>
      <w:r>
        <w:rPr>
          <w:sz w:val="24"/>
          <w:lang w:val="en-US"/>
        </w:rPr>
        <w:t>Сущность сделки "своп" между центральными банками заключается в следующем. Федеральный резервный банк Нью-Йорка по договоренности, например, с Немецким федеральным банком продает ему долларами США на условиях немедленной поставки (записывает доллары на счет этого банка у себя), а Немецкий федеральный банк зачисляет эквивалент этой суммы в марках ФРГ на счет банка Нью-Йорка. Таким образом, США получают кредит, создают резерв в иностранной валюте, используя его для валютной интервенции или валютной диверсификации. Одновременно Федеральный резервный банк Нью-Йорка заключает форвардную сделку с немецким Федеральным банком и при наступлении ее срока покупает у центрального банка ФРГ доллары на марки. США активно использовали сделки "своп" в целях поддержки долларов при падении его курса в 70-х годах.</w:t>
      </w:r>
    </w:p>
    <w:p w:rsidR="00AB1998" w:rsidRDefault="00307328">
      <w:pPr>
        <w:ind w:firstLine="720"/>
        <w:jc w:val="both"/>
        <w:rPr>
          <w:sz w:val="24"/>
          <w:lang w:val="en-US"/>
        </w:rPr>
      </w:pPr>
      <w:r>
        <w:rPr>
          <w:sz w:val="24"/>
          <w:lang w:val="en-US"/>
        </w:rPr>
        <w:t>Операции "своп" совершаются не только с валютами, но и с процентами. Сущность этой сделки с процентами заключается в том, что одна сторона обязуется выплатить другой проценты по ставке ЛИБОР в обмен на получение процентов по фиксированной ставке с целью извлечения прибыли в виде разницы между ними. При этом сторона, имеющая среднесрочные вложения по фиксированному проценту, но краткосрочные пассивы или пассивы по пересматриваемому проценту, страхует свой процентный риск (процентную позицию), "покупая" долгосрочную фиксированную ставку, или наоборот.</w:t>
      </w:r>
    </w:p>
    <w:p w:rsidR="00AB1998" w:rsidRDefault="00307328">
      <w:pPr>
        <w:ind w:firstLine="720"/>
        <w:jc w:val="both"/>
        <w:rPr>
          <w:sz w:val="24"/>
          <w:lang w:val="en-US"/>
        </w:rPr>
      </w:pPr>
      <w:r>
        <w:rPr>
          <w:sz w:val="24"/>
          <w:lang w:val="en-US"/>
        </w:rPr>
        <w:t>Документация по операциям "своп" сравнительно стандартизирована, включает условия их прекращения при неплатежах, технику обмена обязательствами, а также обычные пункты кредитного соглашения. Они дают возможность получать необходимую валюту, компенсировать временный отлив капиталов из страны, регулировать структуру валютных резервов, в том числе официальных.</w:t>
      </w: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ind w:firstLine="720"/>
        <w:jc w:val="both"/>
        <w:rPr>
          <w:sz w:val="24"/>
          <w:lang w:val="en-US"/>
        </w:rPr>
      </w:pPr>
    </w:p>
    <w:p w:rsidR="00AB1998" w:rsidRDefault="00AB1998">
      <w:pPr>
        <w:rPr>
          <w:sz w:val="24"/>
          <w:lang w:val="en-US"/>
        </w:rPr>
      </w:pPr>
    </w:p>
    <w:p w:rsidR="00AB1998" w:rsidRDefault="00307328">
      <w:pPr>
        <w:jc w:val="center"/>
        <w:rPr>
          <w:shadow/>
          <w:sz w:val="28"/>
        </w:rPr>
      </w:pPr>
      <w:r>
        <w:rPr>
          <w:shadow/>
          <w:sz w:val="28"/>
        </w:rPr>
        <w:t>1.4. Бухгалтерский учет операций с иностранной валютой.</w:t>
      </w:r>
    </w:p>
    <w:p w:rsidR="00AB1998" w:rsidRDefault="00AB1998">
      <w:pPr>
        <w:rPr>
          <w:b/>
          <w:sz w:val="28"/>
        </w:rPr>
      </w:pPr>
    </w:p>
    <w:p w:rsidR="00AB1998" w:rsidRDefault="00307328">
      <w:pPr>
        <w:pStyle w:val="a7"/>
      </w:pPr>
      <w:r>
        <w:t>Приказом Министерства финансов Украины от 14.02.96 г. №29 утверждено «Положение по бухгалтерскому учету операций в иностранной валюте».</w:t>
      </w:r>
    </w:p>
    <w:p w:rsidR="00AB1998" w:rsidRDefault="00AB1998">
      <w:pPr>
        <w:rPr>
          <w:sz w:val="24"/>
        </w:rPr>
      </w:pPr>
    </w:p>
    <w:p w:rsidR="00AB1998" w:rsidRDefault="00307328">
      <w:pPr>
        <w:numPr>
          <w:ilvl w:val="0"/>
          <w:numId w:val="9"/>
        </w:numPr>
        <w:rPr>
          <w:sz w:val="24"/>
        </w:rPr>
      </w:pPr>
      <w:r>
        <w:rPr>
          <w:sz w:val="24"/>
        </w:rPr>
        <w:t>Настоящее положение устанавливает для предприятий, учреждений и организаций, являющихся по законодательству Украина юридическими лицами  (кроме банков), а также для их филиалов, представительств, отделений и иных обособленных подразделений, выделенных на отдельный баланс, порядок отображения в бухгалтерском учете и отчетности операций с имуществом и обязательствами, стоимость которых определена в иностранной валюте.</w:t>
      </w:r>
    </w:p>
    <w:p w:rsidR="00AB1998" w:rsidRDefault="00307328">
      <w:pPr>
        <w:numPr>
          <w:ilvl w:val="0"/>
          <w:numId w:val="9"/>
        </w:numPr>
        <w:rPr>
          <w:sz w:val="24"/>
        </w:rPr>
      </w:pPr>
      <w:r>
        <w:rPr>
          <w:sz w:val="24"/>
        </w:rPr>
        <w:t>Бухгалтерский учет иностранной валюты на счетах в учреждениях банков ведется предприятиями на счете 52 «Валютный счет», бюджетными учреждениями на счете 116 «Валютный счет». К указанному счету открываются следующие счета</w:t>
      </w:r>
      <w:r>
        <w:rPr>
          <w:sz w:val="24"/>
          <w:lang w:val="en-US"/>
        </w:rPr>
        <w:t>:</w:t>
      </w:r>
    </w:p>
    <w:p w:rsidR="00AB1998" w:rsidRDefault="00307328">
      <w:pPr>
        <w:numPr>
          <w:ilvl w:val="0"/>
          <w:numId w:val="19"/>
        </w:numPr>
        <w:tabs>
          <w:tab w:val="clear" w:pos="360"/>
          <w:tab w:val="num" w:pos="720"/>
        </w:tabs>
        <w:ind w:left="720"/>
        <w:rPr>
          <w:sz w:val="24"/>
        </w:rPr>
      </w:pPr>
      <w:r>
        <w:rPr>
          <w:sz w:val="24"/>
        </w:rPr>
        <w:t>«Валютный счет в стране»;</w:t>
      </w:r>
    </w:p>
    <w:p w:rsidR="00AB1998" w:rsidRDefault="00307328">
      <w:pPr>
        <w:numPr>
          <w:ilvl w:val="0"/>
          <w:numId w:val="19"/>
        </w:numPr>
        <w:tabs>
          <w:tab w:val="clear" w:pos="360"/>
          <w:tab w:val="num" w:pos="720"/>
        </w:tabs>
        <w:ind w:left="720"/>
        <w:rPr>
          <w:sz w:val="24"/>
        </w:rPr>
      </w:pPr>
      <w:r>
        <w:rPr>
          <w:sz w:val="24"/>
        </w:rPr>
        <w:t>«Валютный счет за рубежом»;</w:t>
      </w:r>
    </w:p>
    <w:p w:rsidR="00AB1998" w:rsidRDefault="00307328">
      <w:pPr>
        <w:numPr>
          <w:ilvl w:val="0"/>
          <w:numId w:val="19"/>
        </w:numPr>
        <w:tabs>
          <w:tab w:val="clear" w:pos="360"/>
          <w:tab w:val="num" w:pos="720"/>
        </w:tabs>
        <w:ind w:left="720"/>
        <w:rPr>
          <w:sz w:val="24"/>
        </w:rPr>
      </w:pPr>
      <w:r>
        <w:rPr>
          <w:sz w:val="24"/>
        </w:rPr>
        <w:t>«Транзитный валютный счет».</w:t>
      </w:r>
    </w:p>
    <w:p w:rsidR="00AB1998" w:rsidRDefault="00307328">
      <w:pPr>
        <w:ind w:left="360"/>
        <w:rPr>
          <w:sz w:val="24"/>
        </w:rPr>
      </w:pPr>
      <w:r>
        <w:rPr>
          <w:sz w:val="24"/>
        </w:rPr>
        <w:t>Бухгалтерский учет наличности в иностранной валюте ведется на субсчетах 2 «Касса в иностранной валюте» и 4 «Операционная касса в иностранной валюте» счета 50 «Касса».</w:t>
      </w:r>
    </w:p>
    <w:p w:rsidR="00AB1998" w:rsidRDefault="00307328">
      <w:pPr>
        <w:numPr>
          <w:ilvl w:val="0"/>
          <w:numId w:val="9"/>
        </w:numPr>
        <w:rPr>
          <w:sz w:val="24"/>
        </w:rPr>
      </w:pPr>
      <w:r>
        <w:rPr>
          <w:sz w:val="24"/>
        </w:rPr>
        <w:t>При осуществлении операций с имуществом и обязательствами (основные средства и нематериальные активы, малоценные и быстроизнашивающиеся предметы, сырье, материалы, оборудование и товары, наличность в кассе, средства в пути, на счетах в учреждениях банков, денежные и платежные документы, финансовые вложения, средства в расчетах с юридическими и физическими лицами, кредиты банков, иные займы, активы и пассивы), выраженных в иностранной валюте, их стоимость для отражения в бухгалтерском учете подлежит пересчету в денежную единицу Украины по курсу Национального банка Украины.</w:t>
      </w:r>
    </w:p>
    <w:p w:rsidR="00AB1998" w:rsidRDefault="00307328">
      <w:pPr>
        <w:numPr>
          <w:ilvl w:val="0"/>
          <w:numId w:val="9"/>
        </w:numPr>
        <w:rPr>
          <w:sz w:val="24"/>
        </w:rPr>
      </w:pPr>
      <w:r>
        <w:rPr>
          <w:sz w:val="24"/>
        </w:rPr>
        <w:t>Пересчет в денежную единицу Украины для отражений операций в бухгалтерском учете производится по курсу Национального банка Украины на дату осуществления операции в иностранной валюте.</w:t>
      </w:r>
    </w:p>
    <w:p w:rsidR="00AB1998" w:rsidRDefault="00307328">
      <w:pPr>
        <w:numPr>
          <w:ilvl w:val="0"/>
          <w:numId w:val="9"/>
        </w:numPr>
        <w:rPr>
          <w:sz w:val="24"/>
        </w:rPr>
      </w:pPr>
      <w:r>
        <w:rPr>
          <w:sz w:val="24"/>
        </w:rPr>
        <w:t>Пересчет наличности, средств в учреждениях банков и в пути, денежных и платежных документов, ценных бумаг, средств в расчетах (включая расчеты по обязательствам и займы) с юридическими и физическими лицами, а также остатка целевого финансирования из бюджета в иностранной валюте производится на дату осуществления операций в иностранной валюте, а также на дату составления бухгалтерской отчетности.</w:t>
      </w:r>
    </w:p>
    <w:p w:rsidR="00AB1998" w:rsidRDefault="00307328">
      <w:pPr>
        <w:numPr>
          <w:ilvl w:val="0"/>
          <w:numId w:val="9"/>
        </w:numPr>
        <w:rPr>
          <w:sz w:val="24"/>
        </w:rPr>
      </w:pPr>
      <w:r>
        <w:rPr>
          <w:sz w:val="24"/>
        </w:rPr>
        <w:t>Стоимость основных средств и нематериальных активов, малоценных и быстроизнашивающихся предметов, сырья и материалов, оборудования и товаров, фондов специального назначения и иных активов и пассивов, не приведенных в пункте 5 и используемых для ведения хозяйственной деятельности  в Украине и за ее пределами, при составлении бухгалтерской отчетности оценивается в денежной единице Украины в сумме, исчисленной по действующему курсу Национального банка Украины на дату осуществления хозяйственной операции в иностранной валюте, с которой связано зачисление этих активов и пассивов на баланс предприятия.</w:t>
      </w:r>
    </w:p>
    <w:p w:rsidR="00AB1998" w:rsidRDefault="00307328">
      <w:pPr>
        <w:numPr>
          <w:ilvl w:val="0"/>
          <w:numId w:val="9"/>
        </w:numPr>
        <w:rPr>
          <w:sz w:val="24"/>
        </w:rPr>
      </w:pPr>
      <w:r>
        <w:rPr>
          <w:sz w:val="24"/>
        </w:rPr>
        <w:t>Пересчет стоимости активов и пассивов, приведенных в пункте 6, после отражения в бухгалтерском учете в связи с изменением курса иностранной валюты не осуществляется.</w:t>
      </w:r>
    </w:p>
    <w:p w:rsidR="00AB1998" w:rsidRDefault="00AB1998">
      <w:pPr>
        <w:rPr>
          <w:sz w:val="24"/>
        </w:rPr>
      </w:pPr>
    </w:p>
    <w:p w:rsidR="00AB1998" w:rsidRDefault="00AB1998">
      <w:pPr>
        <w:rPr>
          <w:sz w:val="24"/>
        </w:rPr>
      </w:pPr>
    </w:p>
    <w:p w:rsidR="00AB1998" w:rsidRDefault="00307328">
      <w:pPr>
        <w:pStyle w:val="a7"/>
        <w:numPr>
          <w:ilvl w:val="0"/>
          <w:numId w:val="9"/>
        </w:numPr>
      </w:pPr>
      <w:r>
        <w:t>Записи операций в регистрах бухгалтерского учета на счетах учета активов и пассивов, стоимость которых определена в иностранной валюте, производятся предприятием, организацией, учреждением, осуществляющим хозяйственную деятельность в Украине и за ее пределами, в денежной единице Украины.</w:t>
      </w:r>
    </w:p>
    <w:p w:rsidR="00AB1998" w:rsidRDefault="00307328">
      <w:pPr>
        <w:pStyle w:val="a7"/>
        <w:ind w:left="360"/>
      </w:pPr>
      <w:r>
        <w:t xml:space="preserve">             Одновременно указанные записи операций с активами и пассивами, приведенных в пункте 5 настоящего Положения, производятся в той иностранной валюте, в которой осуществляются платежи.</w:t>
      </w:r>
    </w:p>
    <w:p w:rsidR="00AB1998" w:rsidRDefault="00307328">
      <w:pPr>
        <w:pStyle w:val="a7"/>
        <w:numPr>
          <w:ilvl w:val="0"/>
          <w:numId w:val="9"/>
        </w:numPr>
      </w:pPr>
      <w:r>
        <w:t>Доходы и расходы в иностранной валюте, по которым формируется результат от осуществления финансово-хозяйственной деятельности за пределами Украины, определяются в денежной единице Украины по курсу Национального банка Украины на дату осуществления соответствующей операции в иностранной валюте или средней величине курсов. Средняя величина курсов является результатом деления произведения величин курсов Национального банка Украины и количества дней их действия в отчетном периоде на количество календарных дней в отчетном периоде.</w:t>
      </w:r>
    </w:p>
    <w:p w:rsidR="00AB1998" w:rsidRDefault="00AB1998">
      <w:pPr>
        <w:pStyle w:val="a7"/>
      </w:pPr>
    </w:p>
    <w:p w:rsidR="00AB1998" w:rsidRDefault="00AB1998">
      <w:pPr>
        <w:rPr>
          <w:sz w:val="24"/>
        </w:rPr>
      </w:pPr>
    </w:p>
    <w:p w:rsidR="00AB1998" w:rsidRDefault="00AB1998">
      <w:pPr>
        <w:rPr>
          <w:sz w:val="24"/>
        </w:rPr>
      </w:pPr>
    </w:p>
    <w:p w:rsidR="00AB1998" w:rsidRDefault="00307328">
      <w:pPr>
        <w:jc w:val="center"/>
        <w:rPr>
          <w:shadow/>
          <w:sz w:val="28"/>
        </w:rPr>
      </w:pPr>
      <w:r>
        <w:rPr>
          <w:shadow/>
          <w:sz w:val="28"/>
        </w:rPr>
        <w:t>1.4.1. Учет Операций по торговле (обмену) наличной валютой.</w:t>
      </w:r>
    </w:p>
    <w:p w:rsidR="00AB1998" w:rsidRDefault="00AB1998">
      <w:pPr>
        <w:jc w:val="center"/>
        <w:rPr>
          <w:shadow/>
          <w:sz w:val="28"/>
        </w:rPr>
      </w:pPr>
    </w:p>
    <w:p w:rsidR="00AB1998" w:rsidRDefault="00307328">
      <w:pPr>
        <w:pStyle w:val="a7"/>
        <w:numPr>
          <w:ilvl w:val="0"/>
          <w:numId w:val="20"/>
        </w:numPr>
      </w:pPr>
      <w:r>
        <w:t>Предприятия, которые по агентским соглашениям с учреждениями банков осуществляют операции по торговле (обмену) наличной валютой, стоимость приобретенной иностранной валюты в сумме эквивалента, исчисленного в украинских карбованцах по курсу Национального банка Украины на дату осуществления операций, оприходуют по дебету счета 50 «Касса» субсчет 3 «Операционная касса в иностранной валюте» на сумму фактически выданной украинской валюты в обмен на иностранную валюту с отнесением разницы на счет 42 «Торговая наценка» субсчет 4 «Валютная маржа».</w:t>
      </w:r>
    </w:p>
    <w:p w:rsidR="00AB1998" w:rsidRDefault="00307328">
      <w:pPr>
        <w:pStyle w:val="a7"/>
        <w:numPr>
          <w:ilvl w:val="0"/>
          <w:numId w:val="20"/>
        </w:numPr>
      </w:pPr>
      <w:r>
        <w:t>Суммы валютной маржи в части, которые приходятся на проданную обменными пунктами иностранную валюту, ежемесячно списываются в корреспонденции со счетом 80 «Прибыли и убытки». Для распределения валютной маржи определяется ее средний процент делением суммы остатка валютной маржи на начало месяца  и валютной маржи за отчетный месяц на сумму проданной в отчетном месяце иностранной валюты и остатка иностранной валюты на обменных пунктах на конец отчетного месяца. Умножением суммы проданной обменными пунктами за отчетный месяц иностранной валюты на средний процент валютной маржи определяется и ее сумма, подлежащая списанию со счета 42.</w:t>
      </w:r>
    </w:p>
    <w:p w:rsidR="00AB1998" w:rsidRDefault="00AB1998">
      <w:pPr>
        <w:pStyle w:val="a7"/>
      </w:pPr>
    </w:p>
    <w:p w:rsidR="00AB1998" w:rsidRDefault="00AB1998">
      <w:pPr>
        <w:pStyle w:val="a7"/>
      </w:pPr>
    </w:p>
    <w:p w:rsidR="00AB1998" w:rsidRDefault="00AB1998">
      <w:pPr>
        <w:pStyle w:val="a7"/>
      </w:pPr>
    </w:p>
    <w:p w:rsidR="00AB1998" w:rsidRDefault="00307328">
      <w:pPr>
        <w:pStyle w:val="a7"/>
        <w:jc w:val="center"/>
        <w:rPr>
          <w:shadow/>
          <w:sz w:val="28"/>
        </w:rPr>
      </w:pPr>
      <w:r>
        <w:rPr>
          <w:shadow/>
          <w:sz w:val="28"/>
        </w:rPr>
        <w:t>1.4.2. Учет операций по продаже и покупке безналичной иностранной валюты.</w:t>
      </w:r>
    </w:p>
    <w:p w:rsidR="00AB1998" w:rsidRDefault="00AB1998">
      <w:pPr>
        <w:pStyle w:val="a7"/>
        <w:jc w:val="center"/>
        <w:rPr>
          <w:shadow/>
          <w:sz w:val="28"/>
        </w:rPr>
      </w:pPr>
    </w:p>
    <w:p w:rsidR="00AB1998" w:rsidRDefault="00307328">
      <w:pPr>
        <w:pStyle w:val="a7"/>
        <w:numPr>
          <w:ilvl w:val="0"/>
          <w:numId w:val="22"/>
        </w:numPr>
      </w:pPr>
      <w:r>
        <w:t>Валютные средства, перечисленные уполномоченному банку для продажи, в сумме, исчисленной по курсу Национального банка Украины на дату осуществления операций, отражаются по дебету счета 56 «Другие денежные средства» субсчет 1 «Денежные средства в пути» и кредиту счета 52 «Валютный счет» субсчеты 1 «Валютный счет в стране» и 3 «Транзитный валютный счет». Сумма полученной украинской валюты от продажи безналичной иностранной валюты отражается по дебету счета 51 «Расчетный счет» и кредиту счета 46 «Реализация» субсчет «Реализация безналичной иностранной валюты» и одновременно по кредиту счета 56 «Другие денежные средства» субсчет 1 «Денежные средства в пути» и дебету счета 46 «Реализация».</w:t>
      </w:r>
    </w:p>
    <w:p w:rsidR="00AB1998" w:rsidRDefault="00307328">
      <w:pPr>
        <w:pStyle w:val="a7"/>
        <w:ind w:left="360"/>
      </w:pPr>
      <w:r>
        <w:t xml:space="preserve">             В дебет счета 46 «Реализация» относится также оплата услуг уполномоченного банка за выполнение поручения предприятия на продажу иностранной валюты. Прибыль от продажи иностранной валюты отражается по кредиту счета 80 «Прибыли и убытки», а потери (убытки) – по дебету счета 81 «Использование прибыли» в корреспонденции со счетом 46 «Реализация».</w:t>
      </w:r>
    </w:p>
    <w:p w:rsidR="00AB1998" w:rsidRDefault="00307328">
      <w:pPr>
        <w:numPr>
          <w:ilvl w:val="0"/>
          <w:numId w:val="21"/>
        </w:numPr>
        <w:rPr>
          <w:sz w:val="24"/>
        </w:rPr>
      </w:pPr>
      <w:r>
        <w:rPr>
          <w:sz w:val="24"/>
        </w:rPr>
        <w:t>Стоимость приобретенной иностранной валюты, исчисленной в украинской валюте по курсу Национального банка Украины на дату зачисления иностранной валюты на счет предприятия в уполномоченном банке, отражается по дебету счета 52 «Валютный счет» субсчет «Валютный счет в стране» и кредиту счета 56 «Другие денежные средства» субсчет «Денежные средства в пути». Превышение эквивалента приобретенной иностранной валюты в украинской валюте над суммой всех расходов на ее приобретение зачисляется в состав прибылей, а результат обратного алгоритма списывается в дебет счета 81 «Использование прибыли».</w:t>
      </w:r>
    </w:p>
    <w:p w:rsidR="00AB1998" w:rsidRDefault="00AB1998">
      <w:pPr>
        <w:pStyle w:val="a7"/>
      </w:pPr>
    </w:p>
    <w:p w:rsidR="00AB1998" w:rsidRDefault="00AB1998">
      <w:pPr>
        <w:pStyle w:val="a7"/>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AB1998">
      <w:pPr>
        <w:pStyle w:val="a7"/>
        <w:ind w:left="360"/>
      </w:pPr>
    </w:p>
    <w:p w:rsidR="00AB1998" w:rsidRDefault="00307328">
      <w:pPr>
        <w:jc w:val="center"/>
        <w:rPr>
          <w:shadow/>
          <w:sz w:val="28"/>
        </w:rPr>
      </w:pPr>
      <w:r>
        <w:rPr>
          <w:shadow/>
          <w:sz w:val="28"/>
        </w:rPr>
        <w:t>1.5. Сегодняшний курс иностранных валют в Украине.</w:t>
      </w:r>
    </w:p>
    <w:p w:rsidR="00AB1998" w:rsidRDefault="00AB1998">
      <w:pPr>
        <w:jc w:val="center"/>
        <w:rPr>
          <w:b/>
          <w:shadow/>
          <w:sz w:val="28"/>
        </w:rPr>
      </w:pPr>
    </w:p>
    <w:p w:rsidR="00AB1998" w:rsidRDefault="00307328">
      <w:pPr>
        <w:pStyle w:val="a7"/>
      </w:pPr>
      <w:r>
        <w:t>На курсовую ситуацию в Украине на протяжении последних пяти месяцев оказывает влияние ряд факторов.</w:t>
      </w:r>
    </w:p>
    <w:p w:rsidR="00AB1998" w:rsidRDefault="00307328">
      <w:pPr>
        <w:numPr>
          <w:ilvl w:val="0"/>
          <w:numId w:val="14"/>
        </w:numPr>
        <w:rPr>
          <w:sz w:val="24"/>
        </w:rPr>
      </w:pPr>
      <w:r>
        <w:rPr>
          <w:sz w:val="24"/>
        </w:rPr>
        <w:t>Отголоски мирового финансового кризиса, влияющие как на активность фондового рынка, так и на динамику экспортно-импортных операций.</w:t>
      </w:r>
    </w:p>
    <w:p w:rsidR="00AB1998" w:rsidRDefault="00307328">
      <w:pPr>
        <w:numPr>
          <w:ilvl w:val="0"/>
          <w:numId w:val="14"/>
        </w:numPr>
        <w:rPr>
          <w:sz w:val="24"/>
        </w:rPr>
      </w:pPr>
      <w:r>
        <w:rPr>
          <w:sz w:val="24"/>
        </w:rPr>
        <w:t>Финансовый кризис в Украине, имеющий бюджетный характер (на базе политических и экономических решений, которые были приняты в предыдущие периоды), который сильно влияет на состояние финансового рынка.</w:t>
      </w:r>
    </w:p>
    <w:p w:rsidR="00AB1998" w:rsidRDefault="00307328">
      <w:pPr>
        <w:numPr>
          <w:ilvl w:val="0"/>
          <w:numId w:val="14"/>
        </w:numPr>
        <w:rPr>
          <w:sz w:val="24"/>
        </w:rPr>
      </w:pPr>
      <w:r>
        <w:rPr>
          <w:sz w:val="24"/>
        </w:rPr>
        <w:t>Состояние рынка государственного займа и рынка корпоративных бумаг.</w:t>
      </w:r>
    </w:p>
    <w:p w:rsidR="00AB1998" w:rsidRDefault="00307328">
      <w:pPr>
        <w:numPr>
          <w:ilvl w:val="0"/>
          <w:numId w:val="14"/>
        </w:numPr>
        <w:rPr>
          <w:sz w:val="24"/>
        </w:rPr>
      </w:pPr>
      <w:r>
        <w:rPr>
          <w:sz w:val="24"/>
        </w:rPr>
        <w:t>Политические выборы (весна 1998 года), формирующие специфическое поведение нерезидентов на рынке государственных ценных бумаг.</w:t>
      </w:r>
    </w:p>
    <w:p w:rsidR="00AB1998" w:rsidRDefault="00307328">
      <w:pPr>
        <w:numPr>
          <w:ilvl w:val="0"/>
          <w:numId w:val="14"/>
        </w:numPr>
        <w:rPr>
          <w:sz w:val="24"/>
        </w:rPr>
      </w:pPr>
      <w:r>
        <w:rPr>
          <w:sz w:val="24"/>
        </w:rPr>
        <w:t>Одним из положительных факторов является сотрудничество с международными экономическими институтами: Мировым банком, Международным валютным фондом (</w:t>
      </w:r>
      <w:r>
        <w:rPr>
          <w:sz w:val="24"/>
          <w:lang w:val="en-US"/>
        </w:rPr>
        <w:t>IMF)</w:t>
      </w:r>
      <w:r>
        <w:rPr>
          <w:sz w:val="24"/>
        </w:rPr>
        <w:t>.</w:t>
      </w:r>
    </w:p>
    <w:p w:rsidR="00AB1998" w:rsidRDefault="00AB1998">
      <w:pPr>
        <w:rPr>
          <w:sz w:val="24"/>
        </w:rPr>
      </w:pPr>
    </w:p>
    <w:p w:rsidR="00AB1998" w:rsidRDefault="00307328">
      <w:pPr>
        <w:rPr>
          <w:sz w:val="24"/>
        </w:rPr>
      </w:pPr>
      <w:r>
        <w:rPr>
          <w:sz w:val="24"/>
        </w:rPr>
        <w:t>Если говорить в целом об интегральных процессах, влияющих на курсообразование, можно назвать два из них:</w:t>
      </w:r>
    </w:p>
    <w:p w:rsidR="00AB1998" w:rsidRDefault="00307328">
      <w:pPr>
        <w:numPr>
          <w:ilvl w:val="0"/>
          <w:numId w:val="15"/>
        </w:numPr>
        <w:rPr>
          <w:sz w:val="24"/>
        </w:rPr>
      </w:pPr>
      <w:r>
        <w:rPr>
          <w:sz w:val="24"/>
        </w:rPr>
        <w:t>темпы эмиссии гривни и их соответствие рыночным процессам;</w:t>
      </w:r>
    </w:p>
    <w:p w:rsidR="00AB1998" w:rsidRDefault="00307328">
      <w:pPr>
        <w:numPr>
          <w:ilvl w:val="0"/>
          <w:numId w:val="15"/>
        </w:numPr>
        <w:rPr>
          <w:sz w:val="24"/>
        </w:rPr>
      </w:pPr>
      <w:r>
        <w:rPr>
          <w:sz w:val="24"/>
        </w:rPr>
        <w:t>предложение иностранной валюты.</w:t>
      </w:r>
    </w:p>
    <w:p w:rsidR="00AB1998" w:rsidRDefault="00AB1998">
      <w:pPr>
        <w:rPr>
          <w:sz w:val="24"/>
        </w:rPr>
      </w:pPr>
    </w:p>
    <w:p w:rsidR="00AB1998" w:rsidRDefault="00307328">
      <w:pPr>
        <w:rPr>
          <w:sz w:val="24"/>
        </w:rPr>
      </w:pPr>
      <w:r>
        <w:rPr>
          <w:sz w:val="24"/>
        </w:rPr>
        <w:t>Единственным инструментом, находящимся в руках Национального банка, с точки зрения факторов курсообразования, являются темпы эмиссии национальной денежной единицы, т.е. контроль за соответствующими объемами денежной базы и денежной массы в обращении.</w:t>
      </w:r>
    </w:p>
    <w:p w:rsidR="00AB1998" w:rsidRDefault="00AB1998">
      <w:pPr>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rPr>
      </w:pPr>
    </w:p>
    <w:p w:rsidR="00AB1998" w:rsidRDefault="00AB1998">
      <w:pPr>
        <w:ind w:firstLine="900"/>
        <w:jc w:val="both"/>
        <w:rPr>
          <w:sz w:val="24"/>
          <w:lang w:val="en-US"/>
        </w:rPr>
      </w:pPr>
    </w:p>
    <w:p w:rsidR="00AB1998" w:rsidRDefault="00307328">
      <w:pPr>
        <w:jc w:val="center"/>
        <w:rPr>
          <w:shadow/>
          <w:sz w:val="28"/>
        </w:rPr>
      </w:pPr>
      <w:r>
        <w:rPr>
          <w:shadow/>
          <w:sz w:val="28"/>
        </w:rPr>
        <w:t>1.6. Регулирование и контроль.</w:t>
      </w:r>
    </w:p>
    <w:p w:rsidR="00AB1998" w:rsidRDefault="00AB1998">
      <w:pPr>
        <w:jc w:val="center"/>
        <w:rPr>
          <w:shadow/>
          <w:sz w:val="28"/>
        </w:rPr>
      </w:pPr>
    </w:p>
    <w:p w:rsidR="00AB1998" w:rsidRDefault="00307328">
      <w:pPr>
        <w:ind w:firstLine="851"/>
        <w:jc w:val="both"/>
        <w:rPr>
          <w:sz w:val="24"/>
        </w:rPr>
      </w:pPr>
      <w:r>
        <w:rPr>
          <w:sz w:val="24"/>
        </w:rPr>
        <w:t>При проведении валютных операций банки несут различные риски. В первую очередь эти риски связаны с возможным наличием непокрытых сделок в отдельных валютах - длинных или коротких позиций. При срочных сделках возникает риск невыполнения контракта, например в связи с банкротством контрагента. Кроме того, в зависимости от различного времени начала и завершения расчетов в отдельных валютах по ряду валютных сделок банки, совершив перевод проданной валюты, лишь на следующий день узнают, был ли сделан встречный платеж купленной ими валюты. Это имеет место вследствие разницы во времени, например при продаже банком японских иен против валют Западной Европы и США, а также западноевропейских валют против доллара США.</w:t>
      </w:r>
    </w:p>
    <w:p w:rsidR="00AB1998" w:rsidRDefault="00307328">
      <w:pPr>
        <w:ind w:firstLine="851"/>
        <w:jc w:val="both"/>
        <w:rPr>
          <w:sz w:val="24"/>
        </w:rPr>
      </w:pPr>
      <w:r>
        <w:rPr>
          <w:sz w:val="24"/>
        </w:rPr>
        <w:t>В целях ограничения риска не перевода валюты банки устанавливают лимиты валютных сделок с другими банками, исходя из размера их капитала и резервов, репутации и других критериев. По мере получения платежей по ранее заключенным сделкам лимиты высвобождаются. Лимиты по срочным валютным сделкам обычно бывают ниже, чем по операциям с немедленной поставкой, поскольку риск неплатежа по сделке повышается в зависимости от длительности периода от ее заключения до исполнения, т. е. получения валюты.</w:t>
      </w:r>
    </w:p>
    <w:p w:rsidR="00AB1998" w:rsidRDefault="00307328">
      <w:pPr>
        <w:ind w:firstLine="851"/>
        <w:jc w:val="both"/>
        <w:rPr>
          <w:sz w:val="24"/>
        </w:rPr>
      </w:pPr>
      <w:r>
        <w:rPr>
          <w:sz w:val="24"/>
        </w:rPr>
        <w:t>Валютные операции являются объектом государственного и банковского наблюдения и контроля. В странах с частично конвертируемой валютой и ограничениями по финансовым операциям размер валютной позиции банков относительно национальной валюты служит одним из объектов валютного контроля. В периоды значительной валютной нестабильности эти лимиты могут сокращаться</w:t>
      </w:r>
      <w:r>
        <w:rPr>
          <w:sz w:val="24"/>
          <w:lang w:val="en-US"/>
        </w:rPr>
        <w:t>:</w:t>
      </w:r>
      <w:r>
        <w:rPr>
          <w:sz w:val="24"/>
        </w:rPr>
        <w:t xml:space="preserve"> также могут устанавливаться лимиты и для срочных операций - по суммам и по срокам. Однако и при введении в западно - европейских странах полной конвертируемости валюты надзор за валютными операциями банков сохраняется. Более того, с 80-х годов отмечается усиление этого контроля для предотвращения концентрации у банков валютных рисков в балансах и внебалансовых статьях. Необходимость этого была продемонстрирована затруднениями и банкротством в 70-е годы ряда крупных банков из-за потерь в валютных операциях. Общей тенденцией регулирования является все большая увязка валютных рисков с размером собственных средств банков.       </w:t>
      </w: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lang w:val="en-US"/>
        </w:rPr>
      </w:pPr>
    </w:p>
    <w:p w:rsidR="00AB1998" w:rsidRDefault="00AB1998">
      <w:pPr>
        <w:ind w:firstLine="900"/>
        <w:jc w:val="both"/>
        <w:rPr>
          <w:sz w:val="24"/>
        </w:rPr>
      </w:pPr>
    </w:p>
    <w:p w:rsidR="00AB1998" w:rsidRDefault="00307328">
      <w:pPr>
        <w:numPr>
          <w:ilvl w:val="0"/>
          <w:numId w:val="23"/>
        </w:numPr>
        <w:jc w:val="center"/>
        <w:rPr>
          <w:shadow/>
          <w:spacing w:val="30"/>
          <w:sz w:val="30"/>
        </w:rPr>
      </w:pPr>
      <w:r>
        <w:rPr>
          <w:shadow/>
          <w:spacing w:val="30"/>
          <w:sz w:val="30"/>
        </w:rPr>
        <w:t>Валютный арбитраж.</w:t>
      </w:r>
    </w:p>
    <w:p w:rsidR="00AB1998" w:rsidRDefault="00AB1998">
      <w:pPr>
        <w:jc w:val="center"/>
        <w:rPr>
          <w:shadow/>
          <w:spacing w:val="20"/>
          <w:sz w:val="30"/>
        </w:rPr>
      </w:pPr>
    </w:p>
    <w:p w:rsidR="00AB1998" w:rsidRDefault="00307328">
      <w:pPr>
        <w:ind w:firstLine="851"/>
        <w:jc w:val="both"/>
        <w:rPr>
          <w:sz w:val="24"/>
        </w:rPr>
      </w:pPr>
      <w:r>
        <w:rPr>
          <w:sz w:val="24"/>
        </w:rPr>
        <w:t>Арбитраж- это широкое понятие. Различаются арбитраж с товарами</w:t>
      </w:r>
      <w:r>
        <w:rPr>
          <w:sz w:val="24"/>
          <w:lang w:val="en-US"/>
        </w:rPr>
        <w:t>,</w:t>
      </w:r>
      <w:r>
        <w:rPr>
          <w:sz w:val="24"/>
        </w:rPr>
        <w:t xml:space="preserve"> ценными бумагами</w:t>
      </w:r>
      <w:r>
        <w:rPr>
          <w:sz w:val="24"/>
          <w:lang w:val="en-US"/>
        </w:rPr>
        <w:t>,</w:t>
      </w:r>
      <w:r>
        <w:rPr>
          <w:sz w:val="24"/>
        </w:rPr>
        <w:t xml:space="preserve"> валютами. В своем историческом значении валютный арбитраж – валютная операция</w:t>
      </w:r>
      <w:r>
        <w:rPr>
          <w:sz w:val="24"/>
          <w:lang w:val="en-US"/>
        </w:rPr>
        <w:t>,</w:t>
      </w:r>
      <w:r>
        <w:rPr>
          <w:sz w:val="24"/>
        </w:rPr>
        <w:t xml:space="preserve"> сочетающая покупку (продажу) валюты с последующим совершением контрсделки в целях получения прибыли за счет разницы в курсах валют на разных валютных рынках (пространственный арбитраж) или за счет курсовых колебаний в течение определенного периода (временной арбитраж).</w:t>
      </w:r>
    </w:p>
    <w:p w:rsidR="00AB1998" w:rsidRDefault="00307328">
      <w:pPr>
        <w:ind w:firstLine="851"/>
        <w:jc w:val="both"/>
        <w:rPr>
          <w:sz w:val="24"/>
          <w:lang w:val="en-US"/>
        </w:rPr>
      </w:pPr>
      <w:r>
        <w:rPr>
          <w:sz w:val="24"/>
        </w:rPr>
        <w:t>Основной принцип валютного арбитража – купить валюту дешевле и продать ее дороже. Различают простой валютный арбитраж</w:t>
      </w:r>
      <w:r>
        <w:rPr>
          <w:sz w:val="24"/>
          <w:lang w:val="en-US"/>
        </w:rPr>
        <w:t xml:space="preserve">, </w:t>
      </w:r>
      <w:r>
        <w:rPr>
          <w:sz w:val="24"/>
        </w:rPr>
        <w:t>и сложный (с тремя  и более валютами)</w:t>
      </w:r>
      <w:r>
        <w:rPr>
          <w:sz w:val="24"/>
          <w:lang w:val="en-US"/>
        </w:rPr>
        <w:t>;</w:t>
      </w:r>
      <w:r>
        <w:rPr>
          <w:sz w:val="24"/>
        </w:rPr>
        <w:t xml:space="preserve"> на условиях наличных и срочных сделок. По мере развития денежно- кредитной и мировой валютной системы формы валютного  арбитража  менялись. При золотом стандарте практиковался валютный арбитраж</w:t>
      </w:r>
      <w:r>
        <w:rPr>
          <w:sz w:val="24"/>
          <w:lang w:val="en-US"/>
        </w:rPr>
        <w:t xml:space="preserve">, </w:t>
      </w:r>
      <w:r>
        <w:rPr>
          <w:sz w:val="24"/>
        </w:rPr>
        <w:t>основанный на разнице курсов</w:t>
      </w:r>
      <w:r>
        <w:rPr>
          <w:sz w:val="24"/>
          <w:lang w:val="en-US"/>
        </w:rPr>
        <w:t>:</w:t>
      </w:r>
      <w:r>
        <w:rPr>
          <w:sz w:val="24"/>
        </w:rPr>
        <w:t xml:space="preserve"> векселей</w:t>
      </w:r>
      <w:r>
        <w:rPr>
          <w:sz w:val="24"/>
          <w:lang w:val="en-US"/>
        </w:rPr>
        <w:t>,</w:t>
      </w:r>
      <w:r>
        <w:rPr>
          <w:sz w:val="24"/>
        </w:rPr>
        <w:t xml:space="preserve"> золота</w:t>
      </w:r>
      <w:r>
        <w:rPr>
          <w:sz w:val="24"/>
          <w:lang w:val="en-US"/>
        </w:rPr>
        <w:t>,</w:t>
      </w:r>
      <w:r>
        <w:rPr>
          <w:sz w:val="24"/>
        </w:rPr>
        <w:t xml:space="preserve"> различных кредитных средств платежа</w:t>
      </w:r>
      <w:r>
        <w:rPr>
          <w:sz w:val="24"/>
          <w:lang w:val="en-US"/>
        </w:rPr>
        <w:t>,</w:t>
      </w:r>
      <w:r>
        <w:rPr>
          <w:sz w:val="24"/>
        </w:rPr>
        <w:t xml:space="preserve"> валют на разных валютных рынках (пространственный). В межвоенный период золотой арбитраж утратил свое значение в связи с отменой золотого стандарта</w:t>
      </w:r>
      <w:r>
        <w:rPr>
          <w:sz w:val="24"/>
          <w:lang w:val="en-US"/>
        </w:rPr>
        <w:t>,</w:t>
      </w:r>
      <w:r>
        <w:rPr>
          <w:sz w:val="24"/>
        </w:rPr>
        <w:t xml:space="preserve"> а пространственный арбитраж активно использовался</w:t>
      </w:r>
      <w:r>
        <w:rPr>
          <w:sz w:val="24"/>
          <w:lang w:val="en-US"/>
        </w:rPr>
        <w:t>,</w:t>
      </w:r>
      <w:r>
        <w:rPr>
          <w:sz w:val="24"/>
        </w:rPr>
        <w:t xml:space="preserve"> т.к. при недостаточно быстрой и надежной связи между валютными рынками сохранилась разница в динамике курсов валют. При пространственном валютном арбитраже (в отличие от временного) создается закрытая валютная позиция</w:t>
      </w:r>
      <w:r>
        <w:rPr>
          <w:sz w:val="24"/>
          <w:lang w:val="en-US"/>
        </w:rPr>
        <w:t>:</w:t>
      </w:r>
      <w:r>
        <w:rPr>
          <w:sz w:val="24"/>
        </w:rPr>
        <w:t xml:space="preserve"> поскольку покупка и продажа валюты на разных рынках осуществляется одновременно, то валютный риск не возникает. В современных условиях с развитием электронных средств связи и информации</w:t>
      </w:r>
      <w:r>
        <w:rPr>
          <w:sz w:val="24"/>
          <w:lang w:val="en-US"/>
        </w:rPr>
        <w:t>,</w:t>
      </w:r>
      <w:r>
        <w:rPr>
          <w:sz w:val="24"/>
        </w:rPr>
        <w:t xml:space="preserve"> расширением объема валютных сделок курсовые различия на отдельных валютных рынках стали возникать реже</w:t>
      </w:r>
      <w:r>
        <w:rPr>
          <w:sz w:val="24"/>
          <w:lang w:val="en-US"/>
        </w:rPr>
        <w:t>, и в результате пространственный валютный арбитраж уступил место в основном временному валютному арбитражу.</w:t>
      </w:r>
    </w:p>
    <w:p w:rsidR="00AB1998" w:rsidRDefault="00307328">
      <w:pPr>
        <w:rPr>
          <w:sz w:val="24"/>
        </w:rPr>
      </w:pPr>
      <w:r>
        <w:rPr>
          <w:sz w:val="24"/>
        </w:rPr>
        <w:t xml:space="preserve">             В зависимости от цели различается спекулятивный и конверсионный валютный арбитраж. Спекулятивный арбитраж преследует цель извлечь выгоду из разницы валютных курсов в связи с их колебаниями. При этом исходная и конечная валюты совпадают, т.е. сделка осуществляется по схеме: марка ФРГ – доллар США; доллар – марка. Конверсионный арбитраж, прежде всего, преследует цель купить наиболее выгодно необходимую валюту. Фактически это использование конкурентных котировок различных банков на одном или различных валютных рынках. Его возможности шире, поскольку разница в курсах может быть не такой большой, как при спекулятивном арбитраже, при котором она должна не только покрыть маржу между курсами покупателя и продавца, но и дать прибыль. В современных условиях валютные курсы на разных валютных рынках редко отклоняются на величину, равную или превышающую разницу между курсами продавца и покупателя, что позволяет практиковать лишь конверсионный арбитраж в пространстве: банк приобретает необходимую валюту на том валютном рынке, где она дешевле. Современные электронные средства информации (Рейтер-монитор, Телерейд) позволяют следить за всеми изменениями котировок на ведущих валютных рынках. Накладные расходы по средствам связи относительно сократились и не играют существенной роли в условиях возросшего минимального объема сделки (от 5 млн. долл. и больше). </w:t>
      </w:r>
    </w:p>
    <w:p w:rsidR="00AB1998" w:rsidRDefault="00307328">
      <w:pPr>
        <w:pStyle w:val="a7"/>
      </w:pPr>
      <w:r>
        <w:t xml:space="preserve">             С 70-х годов в условиях плавающих валютных курсов наиболее распространен валютный арбитраж во времени, основанный на несовпадении сроков покупки продажи валюты. Потребность в нем обусловлена тем, что крупным банкам, совершающим операции в различных валютах и на большие суммы, не всегда целесообразно или даже возможно в единичном порядке покрыть их контрсделками. Банкам выгоднее, как говорят банкиры, “делать рынок”, т.е. осуществлять валютные операции на базе современных котировок, привлекая сделки противоположного направления и выигрывая при этом на марже между курсами продавца и покупателя. Дилеры и банки стремятся осуществлять валютные операции, которые создают наиболее благоприятное, с их точки зрения, соотношение покупок и продаж отдельных валют. При этом они соответственно меняют свои котировки, делая их более привлекательными для возможных клиентов, а при необходимости сами обращаются к другим банкам для проведения интересующих их операций, в том числе для окончательного регулирования собственной валютной позиции.</w:t>
      </w:r>
    </w:p>
    <w:p w:rsidR="00AB1998" w:rsidRDefault="00307328">
      <w:pPr>
        <w:rPr>
          <w:sz w:val="24"/>
        </w:rPr>
      </w:pPr>
      <w:r>
        <w:rPr>
          <w:sz w:val="24"/>
        </w:rPr>
        <w:t xml:space="preserve">             Таким образом, временной арбитраж неминуемо несет в себе элемент спекуляции, поскольку дилер в зависимости от своего прогноза о возможном изменении курса избирает ту или иную политику покрытия совершаемых сделок в ближайшее время, рассчитывая получить прибыль от их проведения. Если дилер предполагает, что курс доллара в скоре повысится, а клиент предлагает ему продать доллары, банк может ограничить сумму продажи либо немедленно покрыть ее конрсделкой, купив доллары, а при значительной нестабильности рынка или неуверенности в динамике курсов – отказаться проводить операцию. Если клиент предлагает банку купить доллары, он может заключить сделку на большую сумму, рассчитывая впоследствии покрыть ее за счет контрсделки и получить прибыль как на марже между курсами продавца и покупателя, так и на выгодном для него повышении курса доллара.</w:t>
      </w:r>
    </w:p>
    <w:p w:rsidR="00AB1998" w:rsidRDefault="00307328">
      <w:pPr>
        <w:rPr>
          <w:sz w:val="24"/>
        </w:rPr>
      </w:pPr>
      <w:r>
        <w:rPr>
          <w:sz w:val="24"/>
        </w:rPr>
        <w:t xml:space="preserve">              Отличие валютного арбитража от обычной валютной спекуляции заключается в том, что дилер ориентируется на краткосрочный характер операции и пытается предугадать колебания курсов в короткий промежуток между сделками. Иногда на протяжении дня он неоднократно меняет свою тактику. Для этого дилер должен хорошо знать рынок и уметь прогнозировать, постоянно анализировать контакты с другими дилерами, наблюдать за движением валютных курсов, процентных ставок, чтобы определить причины и направление колебаний курсов.</w:t>
      </w:r>
    </w:p>
    <w:p w:rsidR="00AB1998" w:rsidRDefault="00307328">
      <w:pPr>
        <w:rPr>
          <w:sz w:val="24"/>
          <w:lang w:val="uk-UA"/>
        </w:rPr>
      </w:pPr>
      <w:r>
        <w:rPr>
          <w:sz w:val="24"/>
        </w:rPr>
        <w:t xml:space="preserve">              Большое значение для политики дилера имеет местонахождение валютного курса на данный момент по отношения к так называемым критическим валютным точкам чартов (графиков) изменения валютных курсов. Эти статистические определенные критические валютные точки представляют собой значения, изменение курсов за пределы которых требует большого давления на рынок. С одной стороны, при преодолении этих критических значений динамика курса вновь вступает в относительно спокойную зону колебаний между критическими точками. Как правило, дилеры – арбитражисты проявляют большую осторожность, когда движение курсов приближается к критической точке,</w:t>
      </w:r>
      <w:r>
        <w:rPr>
          <w:sz w:val="24"/>
          <w:lang w:val="uk-UA"/>
        </w:rPr>
        <w:t xml:space="preserve"> так как возможно скачкообразное значительное изменение курса (на 100 пункто и более). Однако при валютной спекуляции основной интерес представляет именно преодоление критических точек.</w:t>
      </w:r>
    </w:p>
    <w:p w:rsidR="00AB1998" w:rsidRDefault="00307328">
      <w:pPr>
        <w:pStyle w:val="a3"/>
        <w:jc w:val="both"/>
        <w:rPr>
          <w:lang w:val="ru-RU"/>
        </w:rPr>
      </w:pPr>
      <w:r>
        <w:rPr>
          <w:lang w:val="ru-RU"/>
        </w:rPr>
        <w:t>Цель валютной спекуляции – длительное поддержание длинной позиции в валюте, курс которой имеет тенденцию к повышению, или короткой в валюте – кандидате на обесценение. При этом зачастую осуществляются целенаправленные продажи валюты</w:t>
      </w:r>
      <w:r>
        <w:t>,</w:t>
      </w:r>
      <w:r>
        <w:rPr>
          <w:lang w:val="ru-RU"/>
        </w:rPr>
        <w:t xml:space="preserve"> чтобы создать атмосферу неуверенности и вызвать массовый сброс и понижение ее курса или наоборот.</w:t>
      </w:r>
    </w:p>
    <w:p w:rsidR="00AB1998" w:rsidRDefault="00307328">
      <w:pPr>
        <w:pStyle w:val="a3"/>
        <w:jc w:val="both"/>
        <w:rPr>
          <w:lang w:val="ru-RU"/>
        </w:rPr>
      </w:pPr>
      <w:r>
        <w:rPr>
          <w:lang w:val="ru-RU"/>
        </w:rPr>
        <w:t>В спекулятивных сделках участвуют банки</w:t>
      </w:r>
      <w:r>
        <w:t>,</w:t>
      </w:r>
      <w:r>
        <w:rPr>
          <w:lang w:val="ru-RU"/>
        </w:rPr>
        <w:t xml:space="preserve"> фирмы</w:t>
      </w:r>
      <w:r>
        <w:t>,</w:t>
      </w:r>
      <w:r>
        <w:rPr>
          <w:lang w:val="ru-RU"/>
        </w:rPr>
        <w:t xml:space="preserve"> ТНК. Крупная валютная спекуляция</w:t>
      </w:r>
      <w:r>
        <w:t>,</w:t>
      </w:r>
      <w:r>
        <w:rPr>
          <w:lang w:val="ru-RU"/>
        </w:rPr>
        <w:t xml:space="preserve"> направленная на понижение или повышение курса валют</w:t>
      </w:r>
      <w:r>
        <w:t>,</w:t>
      </w:r>
      <w:r>
        <w:rPr>
          <w:lang w:val="ru-RU"/>
        </w:rPr>
        <w:t xml:space="preserve"> нередко включает операции на десятки миллиардов долларов на протяжении нескольких дней. Часто им бессильны противостоять валютные интервенции центральных банков</w:t>
      </w:r>
      <w:r>
        <w:t>,</w:t>
      </w:r>
      <w:r>
        <w:rPr>
          <w:lang w:val="ru-RU"/>
        </w:rPr>
        <w:t xml:space="preserve"> хотя они могут совершаться на несколько миллиардов долларов в день. Валютных спекулянтов зачастую не интересует, соответствуют ли курсы реальным соотношениям покупательной способности денег</w:t>
      </w:r>
      <w:r>
        <w:t>,</w:t>
      </w:r>
      <w:r>
        <w:rPr>
          <w:lang w:val="ru-RU"/>
        </w:rPr>
        <w:t xml:space="preserve"> могут ли валюты удержаться на уровне</w:t>
      </w:r>
      <w:r>
        <w:t>,</w:t>
      </w:r>
      <w:r>
        <w:rPr>
          <w:lang w:val="ru-RU"/>
        </w:rPr>
        <w:t xml:space="preserve"> который сложится в результате этих сделок. Валюта является для них таким же биржевым товаром</w:t>
      </w:r>
      <w:r>
        <w:t>,</w:t>
      </w:r>
      <w:r>
        <w:rPr>
          <w:lang w:val="ru-RU"/>
        </w:rPr>
        <w:t xml:space="preserve"> как акции</w:t>
      </w:r>
      <w:r>
        <w:t>,</w:t>
      </w:r>
      <w:r>
        <w:rPr>
          <w:lang w:val="ru-RU"/>
        </w:rPr>
        <w:t xml:space="preserve"> металлы</w:t>
      </w:r>
      <w:r>
        <w:t>,</w:t>
      </w:r>
      <w:r>
        <w:rPr>
          <w:lang w:val="ru-RU"/>
        </w:rPr>
        <w:t xml:space="preserve"> сырье. Его характеристиками являются доходность (процентная ставка) и перспектива изменения цены (курса) в краткосрочном плане без учета долгосрочных перспектив. Поэтому нередко возникает парадоксальное явление</w:t>
      </w:r>
      <w:r>
        <w:t>,</w:t>
      </w:r>
      <w:r>
        <w:rPr>
          <w:lang w:val="ru-RU"/>
        </w:rPr>
        <w:t xml:space="preserve"> когда перспективы усиления инфляции в стране приводят не к понижению</w:t>
      </w:r>
      <w:r>
        <w:t>,</w:t>
      </w:r>
      <w:r>
        <w:rPr>
          <w:lang w:val="ru-RU"/>
        </w:rPr>
        <w:t xml:space="preserve"> а к повышению курса ее валюты</w:t>
      </w:r>
      <w:r>
        <w:t>,</w:t>
      </w:r>
      <w:r>
        <w:rPr>
          <w:lang w:val="ru-RU"/>
        </w:rPr>
        <w:t xml:space="preserve"> поскольку считается</w:t>
      </w:r>
      <w:r>
        <w:t>,</w:t>
      </w:r>
      <w:r>
        <w:rPr>
          <w:lang w:val="ru-RU"/>
        </w:rPr>
        <w:t xml:space="preserve"> что в борьбе с инфляцией страна прибегнет к повышению процентных ставок. Такое положение имело место по доллару США в первой половине 80-х годов, по марке ФРГ – в конце 80-х – начале 90-х годов.</w:t>
      </w:r>
    </w:p>
    <w:p w:rsidR="00AB1998" w:rsidRDefault="00307328">
      <w:pPr>
        <w:pStyle w:val="a3"/>
        <w:jc w:val="both"/>
        <w:rPr>
          <w:lang w:val="ru-RU"/>
        </w:rPr>
      </w:pPr>
      <w:r>
        <w:rPr>
          <w:lang w:val="ru-RU"/>
        </w:rPr>
        <w:t>Валютный арбитраж часто связан с операциями на рынке ссудных капиталов. Владелец какой-либо валюты может разместить ее на рынке ссудных капиталов в другой валюте по более выгодной процентной ставке</w:t>
      </w:r>
      <w:r>
        <w:t>,</w:t>
      </w:r>
      <w:r>
        <w:rPr>
          <w:lang w:val="ru-RU"/>
        </w:rPr>
        <w:t xml:space="preserve"> т.е. совершить процентный арбитраж</w:t>
      </w:r>
      <w:r>
        <w:t>,</w:t>
      </w:r>
      <w:r>
        <w:rPr>
          <w:lang w:val="ru-RU"/>
        </w:rPr>
        <w:t xml:space="preserve"> который основан на использовании банками разниц между процентными ставками на разных рынках ссудных капиталов. Конечная цель владельца валюты - получение более высокой прибыли</w:t>
      </w:r>
      <w:r>
        <w:t>,</w:t>
      </w:r>
      <w:r>
        <w:rPr>
          <w:lang w:val="ru-RU"/>
        </w:rPr>
        <w:t xml:space="preserve"> чем банк мог бы получить</w:t>
      </w:r>
      <w:r>
        <w:t>,</w:t>
      </w:r>
      <w:r>
        <w:rPr>
          <w:lang w:val="ru-RU"/>
        </w:rPr>
        <w:t xml:space="preserve"> вкладывая ее непосредственно без обмена на другую валюту. В зависимости от своих оценок динамики курсов этих двух валют он может не страховать валютный риск или временно осуществить операцию по хеджированию на наиболее благоприятных условиях. Процентный арбитраж включает две сделки</w:t>
      </w:r>
      <w:r>
        <w:t>:</w:t>
      </w:r>
      <w:r>
        <w:rPr>
          <w:lang w:val="ru-RU"/>
        </w:rPr>
        <w:t xml:space="preserve"> получение кредита на иностранном рынке ссудных капиталов</w:t>
      </w:r>
      <w:r>
        <w:t>,</w:t>
      </w:r>
      <w:r>
        <w:rPr>
          <w:lang w:val="ru-RU"/>
        </w:rPr>
        <w:t xml:space="preserve"> где ставки ниже</w:t>
      </w:r>
      <w:r>
        <w:t>;</w:t>
      </w:r>
      <w:r>
        <w:rPr>
          <w:lang w:val="ru-RU"/>
        </w:rPr>
        <w:t xml:space="preserve"> использование эквивалента заимствованной иностранной валюты на национальном рынке</w:t>
      </w:r>
      <w:r>
        <w:t>,</w:t>
      </w:r>
      <w:r>
        <w:rPr>
          <w:lang w:val="ru-RU"/>
        </w:rPr>
        <w:t xml:space="preserve"> где процентные ставки выше.</w:t>
      </w:r>
    </w:p>
    <w:p w:rsidR="00AB1998" w:rsidRDefault="00307328">
      <w:pPr>
        <w:pStyle w:val="a3"/>
        <w:jc w:val="both"/>
        <w:rPr>
          <w:lang w:val="ru-RU"/>
        </w:rPr>
      </w:pPr>
      <w:r>
        <w:rPr>
          <w:lang w:val="ru-RU"/>
        </w:rPr>
        <w:t>Например</w:t>
      </w:r>
      <w:r>
        <w:t>,</w:t>
      </w:r>
      <w:r>
        <w:rPr>
          <w:lang w:val="ru-RU"/>
        </w:rPr>
        <w:t xml:space="preserve"> банк ФРГ берет ссуду в Швейцарии из 5% годовых</w:t>
      </w:r>
      <w:r>
        <w:t>,</w:t>
      </w:r>
      <w:r>
        <w:rPr>
          <w:lang w:val="ru-RU"/>
        </w:rPr>
        <w:t xml:space="preserve"> затем конвертирует швейцарские франки в марки ФРГ по курсу наличных сделок и размещает их на национальном рынке из 9% годовых. Доход на разнице процентных ставок составит 4% годовых. Когда поступает срок погашения полученной ссуды</w:t>
      </w:r>
      <w:r>
        <w:t>,</w:t>
      </w:r>
      <w:r>
        <w:rPr>
          <w:lang w:val="ru-RU"/>
        </w:rPr>
        <w:t xml:space="preserve"> осуществляется обратная конверсия</w:t>
      </w:r>
      <w:r>
        <w:t>,</w:t>
      </w:r>
      <w:r>
        <w:rPr>
          <w:lang w:val="ru-RU"/>
        </w:rPr>
        <w:t xml:space="preserve"> т.е. марки продаются на франки. Валютно-процентный арбитраж выгоден</w:t>
      </w:r>
      <w:r>
        <w:t>,</w:t>
      </w:r>
      <w:r>
        <w:rPr>
          <w:lang w:val="ru-RU"/>
        </w:rPr>
        <w:t xml:space="preserve"> если выигрыш на положительной разнице между процентными ставками в ФРГ превышает неблагоприятную для марки ФРГ курсовую разницу по сделкам </w:t>
      </w:r>
      <w:r>
        <w:t>“</w:t>
      </w:r>
      <w:r>
        <w:rPr>
          <w:lang w:val="ru-RU"/>
        </w:rPr>
        <w:t>своп</w:t>
      </w:r>
      <w:r>
        <w:t>”</w:t>
      </w:r>
      <w:r>
        <w:rPr>
          <w:lang w:val="ru-RU"/>
        </w:rPr>
        <w:t xml:space="preserve"> при конверсии валют с учетом издержек по операции. Предположим</w:t>
      </w:r>
      <w:r>
        <w:t>,</w:t>
      </w:r>
      <w:r>
        <w:rPr>
          <w:lang w:val="ru-RU"/>
        </w:rPr>
        <w:t xml:space="preserve"> что срок операции - год</w:t>
      </w:r>
      <w:r>
        <w:t>,</w:t>
      </w:r>
      <w:r>
        <w:rPr>
          <w:lang w:val="ru-RU"/>
        </w:rPr>
        <w:t xml:space="preserve"> а курс </w:t>
      </w:r>
      <w:r>
        <w:t>“</w:t>
      </w:r>
      <w:r>
        <w:rPr>
          <w:lang w:val="ru-RU"/>
        </w:rPr>
        <w:t>спот</w:t>
      </w:r>
      <w:r>
        <w:t xml:space="preserve">” </w:t>
      </w:r>
      <w:r>
        <w:rPr>
          <w:lang w:val="ru-RU"/>
        </w:rPr>
        <w:t>при покупке марок на франки – 1 марка ФРГ = 0</w:t>
      </w:r>
      <w:r>
        <w:t>,</w:t>
      </w:r>
      <w:r>
        <w:rPr>
          <w:lang w:val="uk-UA"/>
        </w:rPr>
        <w:t>90 швейцарского франка. Арбитраж даст доход</w:t>
      </w:r>
      <w:r>
        <w:t>,</w:t>
      </w:r>
      <w:r>
        <w:rPr>
          <w:lang w:val="ru-RU"/>
        </w:rPr>
        <w:t xml:space="preserve"> если обратная конверсия</w:t>
      </w:r>
      <w:r>
        <w:t>,</w:t>
      </w:r>
      <w:r>
        <w:rPr>
          <w:lang w:val="ru-RU"/>
        </w:rPr>
        <w:t xml:space="preserve"> т.е. продажа  марок на франки для погашения ссуды</w:t>
      </w:r>
      <w:r>
        <w:t>,</w:t>
      </w:r>
      <w:r>
        <w:rPr>
          <w:lang w:val="ru-RU"/>
        </w:rPr>
        <w:t xml:space="preserve"> будет проведена по курсу выше 0,864 швейцарского франка</w:t>
      </w:r>
    </w:p>
    <w:p w:rsidR="00AB1998" w:rsidRDefault="00307328">
      <w:pPr>
        <w:pStyle w:val="a3"/>
        <w:jc w:val="both"/>
        <w:rPr>
          <w:lang w:val="ru-RU"/>
        </w:rPr>
      </w:pPr>
      <w:r>
        <w:rPr>
          <w:i/>
          <w:spacing w:val="60"/>
          <w:sz w:val="20"/>
          <w:lang w:val="ru-RU"/>
        </w:rPr>
        <w:t>За 1 марку ФРГ (0</w:t>
      </w:r>
      <w:r>
        <w:rPr>
          <w:i/>
          <w:spacing w:val="60"/>
          <w:sz w:val="20"/>
        </w:rPr>
        <w:t>,</w:t>
      </w:r>
      <w:r>
        <w:rPr>
          <w:i/>
          <w:spacing w:val="60"/>
          <w:sz w:val="20"/>
          <w:lang w:val="ru-RU"/>
        </w:rPr>
        <w:t>90-</w:t>
      </w:r>
      <w:r>
        <w:rPr>
          <w:i/>
          <w:spacing w:val="60"/>
          <w:sz w:val="20"/>
        </w:rPr>
        <w:t>0,90*4/100)</w:t>
      </w:r>
      <w:r>
        <w:rPr>
          <w:i/>
          <w:spacing w:val="60"/>
          <w:sz w:val="20"/>
          <w:lang w:val="ru-RU"/>
        </w:rPr>
        <w:t>.</w:t>
      </w:r>
      <w:r>
        <w:rPr>
          <w:lang w:val="ru-RU"/>
        </w:rPr>
        <w:t xml:space="preserve">Если в </w:t>
      </w:r>
      <w:r>
        <w:t>I</w:t>
      </w:r>
      <w:r>
        <w:rPr>
          <w:lang w:val="ru-RU"/>
        </w:rPr>
        <w:t xml:space="preserve"> квартале проводится хеджирование на условиях</w:t>
      </w:r>
      <w:r>
        <w:t>,</w:t>
      </w:r>
      <w:r>
        <w:rPr>
          <w:lang w:val="ru-RU"/>
        </w:rPr>
        <w:t xml:space="preserve"> соответствующих ставке 2% годовых</w:t>
      </w:r>
      <w:r>
        <w:t>,</w:t>
      </w:r>
      <w:r>
        <w:rPr>
          <w:lang w:val="ru-RU"/>
        </w:rPr>
        <w:t xml:space="preserve"> то инвестор обеспечит страхование валютного риска и прибыль 2% годовых за квартал. В результате понизится курс завершающей сделки </w:t>
      </w:r>
      <w:r>
        <w:t>“</w:t>
      </w:r>
      <w:r>
        <w:rPr>
          <w:lang w:val="ru-RU"/>
        </w:rPr>
        <w:t>спот</w:t>
      </w:r>
      <w:r>
        <w:t>”</w:t>
      </w:r>
      <w:r>
        <w:rPr>
          <w:lang w:val="ru-RU"/>
        </w:rPr>
        <w:t xml:space="preserve"> (продажи марок на франки)</w:t>
      </w:r>
      <w:r>
        <w:t>,</w:t>
      </w:r>
      <w:r>
        <w:rPr>
          <w:lang w:val="ru-RU"/>
        </w:rPr>
        <w:t xml:space="preserve"> что увеличит прибыль от процентного арбитража.</w:t>
      </w:r>
    </w:p>
    <w:p w:rsidR="00AB1998" w:rsidRDefault="00307328">
      <w:pPr>
        <w:pStyle w:val="a3"/>
        <w:jc w:val="both"/>
        <w:rPr>
          <w:lang w:val="ru-RU"/>
        </w:rPr>
      </w:pPr>
      <w:r>
        <w:rPr>
          <w:lang w:val="ru-RU"/>
        </w:rPr>
        <w:t>Большое значение при создании и хеджировании валютных позиций в рамках процентного арбитража играют</w:t>
      </w:r>
      <w:r>
        <w:t>,</w:t>
      </w:r>
      <w:r>
        <w:rPr>
          <w:lang w:val="ru-RU"/>
        </w:rPr>
        <w:t xml:space="preserve"> как указывалось</w:t>
      </w:r>
      <w:r>
        <w:t>,</w:t>
      </w:r>
      <w:r>
        <w:rPr>
          <w:lang w:val="ru-RU"/>
        </w:rPr>
        <w:t xml:space="preserve"> опционные сделки</w:t>
      </w:r>
      <w:r>
        <w:t>,</w:t>
      </w:r>
      <w:r>
        <w:rPr>
          <w:lang w:val="ru-RU"/>
        </w:rPr>
        <w:t xml:space="preserve"> позволяющие зафиксировать уже полученный доход на разнице в процентах</w:t>
      </w:r>
      <w:r>
        <w:t>,</w:t>
      </w:r>
      <w:r>
        <w:rPr>
          <w:lang w:val="ru-RU"/>
        </w:rPr>
        <w:t xml:space="preserve"> одновременно застраховавшись от его утраты при непредвиденном развитии валютных курсов. Разновидностью этой операции является валютно-процентный арбитраж</w:t>
      </w:r>
      <w:r>
        <w:t>,</w:t>
      </w:r>
      <w:r>
        <w:rPr>
          <w:lang w:val="ru-RU"/>
        </w:rPr>
        <w:t xml:space="preserve"> основанный на использовании банком разниц процентных ставок по сделкам</w:t>
      </w:r>
      <w:r>
        <w:t>,</w:t>
      </w:r>
      <w:r>
        <w:rPr>
          <w:lang w:val="ru-RU"/>
        </w:rPr>
        <w:t xml:space="preserve"> осуществляемым на разные сроки. Например, если премия по сделке </w:t>
      </w:r>
      <w:r>
        <w:t>“</w:t>
      </w:r>
      <w:r>
        <w:rPr>
          <w:lang w:val="ru-RU"/>
        </w:rPr>
        <w:t>форвард</w:t>
      </w:r>
      <w:r>
        <w:t>”</w:t>
      </w:r>
      <w:r>
        <w:rPr>
          <w:lang w:val="ru-RU"/>
        </w:rPr>
        <w:t xml:space="preserve"> на 6 месяцев в пересчете на процентный составляет 6% годовых</w:t>
      </w:r>
      <w:r>
        <w:t>,</w:t>
      </w:r>
      <w:r>
        <w:rPr>
          <w:lang w:val="ru-RU"/>
        </w:rPr>
        <w:t xml:space="preserve"> а по сделке на 3 месяца-4%</w:t>
      </w:r>
      <w:r>
        <w:t>,</w:t>
      </w:r>
      <w:r>
        <w:rPr>
          <w:lang w:val="ru-RU"/>
        </w:rPr>
        <w:t xml:space="preserve"> арбитражист может продать валюту сроком на 6 месяцев  с премией 6% годовых и купить ее на срок 3 месяца</w:t>
      </w:r>
      <w:r>
        <w:t>,</w:t>
      </w:r>
      <w:r>
        <w:rPr>
          <w:lang w:val="ru-RU"/>
        </w:rPr>
        <w:t xml:space="preserve"> уплатив премию в размере 4% годовых.</w:t>
      </w:r>
    </w:p>
    <w:p w:rsidR="00AB1998" w:rsidRDefault="00307328">
      <w:pPr>
        <w:pStyle w:val="a3"/>
        <w:jc w:val="both"/>
        <w:rPr>
          <w:lang w:val="ru-RU"/>
        </w:rPr>
      </w:pPr>
      <w:r>
        <w:rPr>
          <w:lang w:val="ru-RU"/>
        </w:rPr>
        <w:t>Предположим</w:t>
      </w:r>
      <w:r>
        <w:t>,</w:t>
      </w:r>
      <w:r>
        <w:rPr>
          <w:lang w:val="ru-RU"/>
        </w:rPr>
        <w:t xml:space="preserve"> что банк А считает</w:t>
      </w:r>
      <w:r>
        <w:t>,</w:t>
      </w:r>
      <w:r>
        <w:rPr>
          <w:lang w:val="ru-RU"/>
        </w:rPr>
        <w:t xml:space="preserve"> что разница в процентах между евро-долларовыми депозитами и вкладами во французских франках значительно увеличится. При этом долларовые процентные ставки не изменяются или понизятся, в то время как ставки по евро-франковым депозитам повысятся. В результате премия по форвардному курсу доллара по отношению к франку тоже увеличится. Допустим, что котировки в момент принятия решения были следующими.</w:t>
      </w:r>
    </w:p>
    <w:p w:rsidR="00AB1998" w:rsidRDefault="00307328">
      <w:pPr>
        <w:pStyle w:val="a3"/>
        <w:jc w:val="center"/>
        <w:rPr>
          <w:b/>
          <w:lang w:val="ru-RU"/>
        </w:rPr>
      </w:pPr>
      <w:r>
        <w:rPr>
          <w:b/>
          <w:lang w:val="ru-RU"/>
        </w:rPr>
        <w:t>ПАРИЖ НА НЬЮ-ЙОРК</w:t>
      </w:r>
    </w:p>
    <w:tbl>
      <w:tblPr>
        <w:tblW w:w="0" w:type="auto"/>
        <w:tblInd w:w="-45" w:type="dxa"/>
        <w:tblLayout w:type="fixed"/>
        <w:tblCellMar>
          <w:left w:w="30" w:type="dxa"/>
          <w:right w:w="30" w:type="dxa"/>
        </w:tblCellMar>
        <w:tblLook w:val="0000" w:firstRow="0" w:lastRow="0" w:firstColumn="0" w:lastColumn="0" w:noHBand="0" w:noVBand="0"/>
      </w:tblPr>
      <w:tblGrid>
        <w:gridCol w:w="4850"/>
        <w:gridCol w:w="2126"/>
        <w:gridCol w:w="1985"/>
      </w:tblGrid>
      <w:tr w:rsidR="00AB1998">
        <w:trPr>
          <w:trHeight w:val="260"/>
        </w:trPr>
        <w:tc>
          <w:tcPr>
            <w:tcW w:w="4850" w:type="dxa"/>
            <w:tcBorders>
              <w:top w:val="single" w:sz="12" w:space="0" w:color="auto"/>
              <w:left w:val="single" w:sz="12" w:space="0" w:color="auto"/>
              <w:bottom w:val="single" w:sz="12" w:space="0" w:color="auto"/>
              <w:right w:val="single" w:sz="12" w:space="0" w:color="auto"/>
            </w:tcBorders>
          </w:tcPr>
          <w:p w:rsidR="00AB1998" w:rsidRDefault="00AB1998">
            <w:pPr>
              <w:jc w:val="center"/>
              <w:rPr>
                <w:rFonts w:ascii="Arial" w:hAnsi="Arial"/>
                <w:snapToGrid w:val="0"/>
                <w:color w:val="000000"/>
              </w:rPr>
            </w:pPr>
          </w:p>
        </w:tc>
        <w:tc>
          <w:tcPr>
            <w:tcW w:w="2126" w:type="dxa"/>
            <w:tcBorders>
              <w:top w:val="single" w:sz="12" w:space="0" w:color="auto"/>
              <w:left w:val="single" w:sz="12" w:space="0" w:color="auto"/>
              <w:bottom w:val="single" w:sz="12" w:space="0" w:color="auto"/>
              <w:right w:val="single" w:sz="12" w:space="0" w:color="auto"/>
            </w:tcBorders>
          </w:tcPr>
          <w:p w:rsidR="00AB1998" w:rsidRDefault="00307328">
            <w:pPr>
              <w:jc w:val="center"/>
              <w:rPr>
                <w:rFonts w:ascii="Arial" w:hAnsi="Arial"/>
                <w:b/>
                <w:snapToGrid w:val="0"/>
                <w:color w:val="000000"/>
              </w:rPr>
            </w:pPr>
            <w:r>
              <w:rPr>
                <w:rFonts w:ascii="Arial" w:hAnsi="Arial"/>
                <w:b/>
                <w:snapToGrid w:val="0"/>
                <w:color w:val="000000"/>
              </w:rPr>
              <w:t>Курс покупателя</w:t>
            </w:r>
          </w:p>
        </w:tc>
        <w:tc>
          <w:tcPr>
            <w:tcW w:w="1985" w:type="dxa"/>
            <w:tcBorders>
              <w:top w:val="single" w:sz="12" w:space="0" w:color="auto"/>
              <w:left w:val="single" w:sz="12" w:space="0" w:color="auto"/>
              <w:bottom w:val="single" w:sz="12" w:space="0" w:color="auto"/>
              <w:right w:val="single" w:sz="12" w:space="0" w:color="auto"/>
            </w:tcBorders>
          </w:tcPr>
          <w:p w:rsidR="00AB1998" w:rsidRDefault="00307328">
            <w:pPr>
              <w:jc w:val="center"/>
              <w:rPr>
                <w:rFonts w:ascii="Arial" w:hAnsi="Arial"/>
                <w:b/>
                <w:snapToGrid w:val="0"/>
                <w:color w:val="000000"/>
              </w:rPr>
            </w:pPr>
            <w:r>
              <w:rPr>
                <w:rFonts w:ascii="Arial" w:hAnsi="Arial"/>
                <w:b/>
                <w:snapToGrid w:val="0"/>
                <w:color w:val="000000"/>
              </w:rPr>
              <w:t>Курс продавца</w:t>
            </w:r>
          </w:p>
        </w:tc>
      </w:tr>
      <w:tr w:rsidR="00AB1998">
        <w:trPr>
          <w:trHeight w:val="250"/>
        </w:trPr>
        <w:tc>
          <w:tcPr>
            <w:tcW w:w="4850" w:type="dxa"/>
            <w:tcBorders>
              <w:top w:val="single" w:sz="12" w:space="0" w:color="auto"/>
              <w:left w:val="single" w:sz="12" w:space="0" w:color="auto"/>
              <w:bottom w:val="single" w:sz="2" w:space="0" w:color="000000"/>
              <w:right w:val="single" w:sz="12" w:space="0" w:color="auto"/>
            </w:tcBorders>
          </w:tcPr>
          <w:p w:rsidR="00AB1998" w:rsidRDefault="00307328">
            <w:pPr>
              <w:jc w:val="center"/>
              <w:rPr>
                <w:rFonts w:ascii="Arial" w:hAnsi="Arial"/>
                <w:b/>
                <w:snapToGrid w:val="0"/>
                <w:color w:val="000000"/>
              </w:rPr>
            </w:pPr>
            <w:r>
              <w:rPr>
                <w:rFonts w:ascii="Arial" w:hAnsi="Arial"/>
                <w:b/>
                <w:snapToGrid w:val="0"/>
                <w:color w:val="000000"/>
              </w:rPr>
              <w:t>Курс "спот"</w:t>
            </w:r>
          </w:p>
        </w:tc>
        <w:tc>
          <w:tcPr>
            <w:tcW w:w="2126" w:type="dxa"/>
            <w:tcBorders>
              <w:top w:val="single" w:sz="12" w:space="0" w:color="auto"/>
              <w:left w:val="single" w:sz="12" w:space="0" w:color="auto"/>
              <w:bottom w:val="single" w:sz="2" w:space="0" w:color="000000"/>
              <w:right w:val="single" w:sz="12" w:space="0" w:color="auto"/>
            </w:tcBorders>
          </w:tcPr>
          <w:p w:rsidR="00AB1998" w:rsidRDefault="00307328">
            <w:pPr>
              <w:jc w:val="center"/>
              <w:rPr>
                <w:rFonts w:ascii="Arial" w:hAnsi="Arial"/>
                <w:b/>
                <w:snapToGrid w:val="0"/>
                <w:color w:val="000000"/>
              </w:rPr>
            </w:pPr>
            <w:r>
              <w:rPr>
                <w:rFonts w:ascii="Arial" w:hAnsi="Arial"/>
                <w:b/>
                <w:snapToGrid w:val="0"/>
                <w:color w:val="000000"/>
              </w:rPr>
              <w:t>5,4789</w:t>
            </w:r>
          </w:p>
        </w:tc>
        <w:tc>
          <w:tcPr>
            <w:tcW w:w="1985" w:type="dxa"/>
            <w:tcBorders>
              <w:top w:val="single" w:sz="12" w:space="0" w:color="auto"/>
              <w:left w:val="single" w:sz="12" w:space="0" w:color="auto"/>
              <w:bottom w:val="single" w:sz="2" w:space="0" w:color="000000"/>
              <w:right w:val="single" w:sz="12" w:space="0" w:color="auto"/>
            </w:tcBorders>
          </w:tcPr>
          <w:p w:rsidR="00AB1998" w:rsidRDefault="00307328">
            <w:pPr>
              <w:jc w:val="center"/>
              <w:rPr>
                <w:rFonts w:ascii="Arial" w:hAnsi="Arial"/>
                <w:b/>
                <w:snapToGrid w:val="0"/>
                <w:color w:val="000000"/>
              </w:rPr>
            </w:pPr>
            <w:r>
              <w:rPr>
                <w:rFonts w:ascii="Arial" w:hAnsi="Arial"/>
                <w:b/>
                <w:snapToGrid w:val="0"/>
                <w:color w:val="000000"/>
              </w:rPr>
              <w:t>5,482</w:t>
            </w:r>
          </w:p>
        </w:tc>
      </w:tr>
      <w:tr w:rsidR="00AB1998">
        <w:trPr>
          <w:trHeight w:val="426"/>
        </w:trPr>
        <w:tc>
          <w:tcPr>
            <w:tcW w:w="4850" w:type="dxa"/>
            <w:tcBorders>
              <w:top w:val="single" w:sz="2" w:space="0" w:color="000000"/>
              <w:left w:val="single" w:sz="12" w:space="0" w:color="auto"/>
              <w:bottom w:val="single" w:sz="2" w:space="0" w:color="000000"/>
              <w:right w:val="single" w:sz="12" w:space="0" w:color="auto"/>
            </w:tcBorders>
            <w:vAlign w:val="center"/>
          </w:tcPr>
          <w:p w:rsidR="00AB1998" w:rsidRDefault="00307328">
            <w:pPr>
              <w:jc w:val="center"/>
              <w:rPr>
                <w:rFonts w:ascii="Arial" w:hAnsi="Arial"/>
                <w:b/>
                <w:snapToGrid w:val="0"/>
                <w:color w:val="000000"/>
              </w:rPr>
            </w:pPr>
            <w:r>
              <w:rPr>
                <w:rFonts w:ascii="Arial" w:hAnsi="Arial"/>
                <w:b/>
                <w:snapToGrid w:val="0"/>
                <w:color w:val="000000"/>
              </w:rPr>
              <w:t>Премия по форвардной сделке на 1 месяц</w:t>
            </w:r>
          </w:p>
        </w:tc>
        <w:tc>
          <w:tcPr>
            <w:tcW w:w="2126" w:type="dxa"/>
            <w:tcBorders>
              <w:top w:val="single" w:sz="2" w:space="0" w:color="000000"/>
              <w:left w:val="single" w:sz="12" w:space="0" w:color="auto"/>
              <w:bottom w:val="single" w:sz="2" w:space="0" w:color="000000"/>
              <w:right w:val="single" w:sz="12" w:space="0" w:color="auto"/>
            </w:tcBorders>
            <w:vAlign w:val="center"/>
          </w:tcPr>
          <w:p w:rsidR="00AB1998" w:rsidRDefault="00307328">
            <w:pPr>
              <w:jc w:val="center"/>
              <w:rPr>
                <w:rFonts w:ascii="Arial" w:hAnsi="Arial"/>
                <w:b/>
                <w:snapToGrid w:val="0"/>
                <w:color w:val="000000"/>
              </w:rPr>
            </w:pPr>
            <w:r>
              <w:rPr>
                <w:rFonts w:ascii="Arial" w:hAnsi="Arial"/>
                <w:b/>
                <w:snapToGrid w:val="0"/>
                <w:color w:val="000000"/>
              </w:rPr>
              <w:t>0,011</w:t>
            </w:r>
          </w:p>
        </w:tc>
        <w:tc>
          <w:tcPr>
            <w:tcW w:w="1985" w:type="dxa"/>
            <w:tcBorders>
              <w:top w:val="single" w:sz="2" w:space="0" w:color="000000"/>
              <w:left w:val="single" w:sz="12" w:space="0" w:color="auto"/>
              <w:bottom w:val="single" w:sz="2" w:space="0" w:color="000000"/>
              <w:right w:val="single" w:sz="12" w:space="0" w:color="auto"/>
            </w:tcBorders>
            <w:vAlign w:val="center"/>
          </w:tcPr>
          <w:p w:rsidR="00AB1998" w:rsidRDefault="00307328">
            <w:pPr>
              <w:jc w:val="center"/>
              <w:rPr>
                <w:rFonts w:ascii="Arial" w:hAnsi="Arial"/>
                <w:b/>
                <w:snapToGrid w:val="0"/>
                <w:color w:val="000000"/>
              </w:rPr>
            </w:pPr>
            <w:r>
              <w:rPr>
                <w:rFonts w:ascii="Arial" w:hAnsi="Arial"/>
                <w:b/>
                <w:snapToGrid w:val="0"/>
                <w:color w:val="000000"/>
              </w:rPr>
              <w:t>0,016</w:t>
            </w:r>
          </w:p>
        </w:tc>
      </w:tr>
      <w:tr w:rsidR="00AB1998">
        <w:trPr>
          <w:trHeight w:val="418"/>
        </w:trPr>
        <w:tc>
          <w:tcPr>
            <w:tcW w:w="4850" w:type="dxa"/>
            <w:tcBorders>
              <w:top w:val="single" w:sz="2" w:space="0" w:color="000000"/>
              <w:left w:val="single" w:sz="12" w:space="0" w:color="auto"/>
              <w:bottom w:val="single" w:sz="12" w:space="0" w:color="auto"/>
              <w:right w:val="single" w:sz="12" w:space="0" w:color="auto"/>
            </w:tcBorders>
            <w:vAlign w:val="center"/>
          </w:tcPr>
          <w:p w:rsidR="00AB1998" w:rsidRDefault="00307328">
            <w:pPr>
              <w:jc w:val="center"/>
              <w:rPr>
                <w:rFonts w:ascii="Arial" w:hAnsi="Arial"/>
                <w:b/>
                <w:snapToGrid w:val="0"/>
                <w:color w:val="000000"/>
              </w:rPr>
            </w:pPr>
            <w:r>
              <w:rPr>
                <w:rFonts w:ascii="Arial" w:hAnsi="Arial"/>
                <w:b/>
                <w:snapToGrid w:val="0"/>
                <w:color w:val="000000"/>
              </w:rPr>
              <w:t>Премия по форвардной сделке на 6 месяцев</w:t>
            </w:r>
          </w:p>
        </w:tc>
        <w:tc>
          <w:tcPr>
            <w:tcW w:w="2126" w:type="dxa"/>
            <w:tcBorders>
              <w:top w:val="single" w:sz="2" w:space="0" w:color="000000"/>
              <w:left w:val="single" w:sz="12" w:space="0" w:color="auto"/>
              <w:bottom w:val="single" w:sz="12" w:space="0" w:color="auto"/>
              <w:right w:val="single" w:sz="12" w:space="0" w:color="auto"/>
            </w:tcBorders>
            <w:vAlign w:val="center"/>
          </w:tcPr>
          <w:p w:rsidR="00AB1998" w:rsidRDefault="00307328">
            <w:pPr>
              <w:jc w:val="center"/>
              <w:rPr>
                <w:rFonts w:ascii="Arial" w:hAnsi="Arial"/>
                <w:b/>
                <w:snapToGrid w:val="0"/>
                <w:color w:val="000000"/>
              </w:rPr>
            </w:pPr>
            <w:r>
              <w:rPr>
                <w:rFonts w:ascii="Arial" w:hAnsi="Arial"/>
                <w:b/>
                <w:snapToGrid w:val="0"/>
                <w:color w:val="000000"/>
              </w:rPr>
              <w:t>0,0525</w:t>
            </w:r>
          </w:p>
        </w:tc>
        <w:tc>
          <w:tcPr>
            <w:tcW w:w="1985" w:type="dxa"/>
            <w:tcBorders>
              <w:top w:val="single" w:sz="2" w:space="0" w:color="000000"/>
              <w:left w:val="single" w:sz="12" w:space="0" w:color="auto"/>
              <w:bottom w:val="single" w:sz="12" w:space="0" w:color="auto"/>
              <w:right w:val="single" w:sz="12" w:space="0" w:color="auto"/>
            </w:tcBorders>
            <w:vAlign w:val="center"/>
          </w:tcPr>
          <w:p w:rsidR="00AB1998" w:rsidRDefault="00307328">
            <w:pPr>
              <w:jc w:val="center"/>
              <w:rPr>
                <w:rFonts w:ascii="Arial" w:hAnsi="Arial"/>
                <w:b/>
                <w:snapToGrid w:val="0"/>
                <w:color w:val="000000"/>
              </w:rPr>
            </w:pPr>
            <w:r>
              <w:rPr>
                <w:rFonts w:ascii="Arial" w:hAnsi="Arial"/>
                <w:b/>
                <w:snapToGrid w:val="0"/>
                <w:color w:val="000000"/>
              </w:rPr>
              <w:t>0,06</w:t>
            </w:r>
          </w:p>
        </w:tc>
      </w:tr>
    </w:tbl>
    <w:p w:rsidR="00AB1998" w:rsidRDefault="00307328">
      <w:pPr>
        <w:ind w:firstLine="851"/>
        <w:jc w:val="both"/>
        <w:rPr>
          <w:b/>
          <w:sz w:val="24"/>
        </w:rPr>
      </w:pPr>
      <w:r>
        <w:rPr>
          <w:b/>
          <w:sz w:val="24"/>
        </w:rPr>
        <w:t xml:space="preserve"> </w:t>
      </w:r>
      <w:r>
        <w:rPr>
          <w:b/>
          <w:sz w:val="24"/>
          <w:lang w:val="uk-UA"/>
        </w:rPr>
        <w:t xml:space="preserve"> </w:t>
      </w:r>
      <w:r>
        <w:rPr>
          <w:b/>
          <w:sz w:val="24"/>
        </w:rPr>
        <w:t xml:space="preserve"> </w:t>
      </w:r>
    </w:p>
    <w:p w:rsidR="00AB1998" w:rsidRDefault="00307328">
      <w:pPr>
        <w:ind w:firstLine="851"/>
        <w:jc w:val="both"/>
        <w:rPr>
          <w:sz w:val="24"/>
          <w:lang w:val="en-US"/>
        </w:rPr>
      </w:pPr>
      <w:r>
        <w:rPr>
          <w:sz w:val="24"/>
        </w:rPr>
        <w:t>Банк А покупает доллары на франки сроком на 6 месяцев по курсу продавца долларов (премия 0,0600) и одновременно продает доллары на франки сроком на 1 месяц по курсу покупателя (премия 0,0110). Таким образом, ему надо уплатить разницу между двумя премиями (0,0490). Через месяц банк закрывает одну сделку. Предположим, что форвардный курс на оставшиеся 5 месяцев изменился по сравнению с первоначальным и его котировки составляют</w:t>
      </w:r>
      <w:r>
        <w:rPr>
          <w:sz w:val="24"/>
          <w:lang w:val="en-US"/>
        </w:rPr>
        <w:t xml:space="preserve">: </w:t>
      </w:r>
    </w:p>
    <w:p w:rsidR="00AB1998" w:rsidRDefault="00AB1998">
      <w:pPr>
        <w:ind w:firstLine="851"/>
        <w:jc w:val="both"/>
        <w:rPr>
          <w:sz w:val="24"/>
          <w:lang w:val="en-US"/>
        </w:rPr>
      </w:pPr>
    </w:p>
    <w:tbl>
      <w:tblPr>
        <w:tblW w:w="0" w:type="auto"/>
        <w:tblInd w:w="-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50"/>
        <w:gridCol w:w="2126"/>
        <w:gridCol w:w="1985"/>
      </w:tblGrid>
      <w:tr w:rsidR="00AB1998">
        <w:trPr>
          <w:trHeight w:val="289"/>
        </w:trPr>
        <w:tc>
          <w:tcPr>
            <w:tcW w:w="4850" w:type="dxa"/>
          </w:tcPr>
          <w:p w:rsidR="00AB1998" w:rsidRDefault="00307328">
            <w:pPr>
              <w:jc w:val="center"/>
              <w:rPr>
                <w:rFonts w:ascii="Arial" w:hAnsi="Arial"/>
                <w:b/>
                <w:snapToGrid w:val="0"/>
                <w:color w:val="000000"/>
              </w:rPr>
            </w:pPr>
            <w:r>
              <w:rPr>
                <w:rFonts w:ascii="Arial" w:hAnsi="Arial"/>
                <w:b/>
                <w:snapToGrid w:val="0"/>
                <w:color w:val="000000"/>
              </w:rPr>
              <w:t>Курс "спот" долл./франц.</w:t>
            </w:r>
            <w:r>
              <w:rPr>
                <w:rFonts w:ascii="Arial" w:hAnsi="Arial"/>
                <w:b/>
                <w:snapToGrid w:val="0"/>
                <w:color w:val="000000"/>
                <w:lang w:val="en-US"/>
              </w:rPr>
              <w:t xml:space="preserve"> </w:t>
            </w:r>
            <w:r>
              <w:rPr>
                <w:rFonts w:ascii="Arial" w:hAnsi="Arial"/>
                <w:b/>
                <w:snapToGrid w:val="0"/>
                <w:color w:val="000000"/>
              </w:rPr>
              <w:t>франк</w:t>
            </w:r>
          </w:p>
        </w:tc>
        <w:tc>
          <w:tcPr>
            <w:tcW w:w="2126" w:type="dxa"/>
          </w:tcPr>
          <w:p w:rsidR="00AB1998" w:rsidRDefault="00307328">
            <w:pPr>
              <w:jc w:val="center"/>
              <w:rPr>
                <w:rFonts w:ascii="Arial" w:hAnsi="Arial"/>
                <w:b/>
                <w:snapToGrid w:val="0"/>
                <w:color w:val="000000"/>
              </w:rPr>
            </w:pPr>
            <w:r>
              <w:rPr>
                <w:rFonts w:ascii="Arial" w:hAnsi="Arial"/>
                <w:b/>
                <w:snapToGrid w:val="0"/>
                <w:color w:val="000000"/>
              </w:rPr>
              <w:t>5,471</w:t>
            </w:r>
          </w:p>
        </w:tc>
        <w:tc>
          <w:tcPr>
            <w:tcW w:w="1985" w:type="dxa"/>
          </w:tcPr>
          <w:p w:rsidR="00AB1998" w:rsidRDefault="00307328">
            <w:pPr>
              <w:jc w:val="center"/>
              <w:rPr>
                <w:rFonts w:ascii="Arial" w:hAnsi="Arial"/>
                <w:b/>
                <w:snapToGrid w:val="0"/>
                <w:color w:val="000000"/>
              </w:rPr>
            </w:pPr>
            <w:r>
              <w:rPr>
                <w:rFonts w:ascii="Arial" w:hAnsi="Arial"/>
                <w:b/>
                <w:snapToGrid w:val="0"/>
                <w:color w:val="000000"/>
              </w:rPr>
              <w:t>5,475</w:t>
            </w:r>
          </w:p>
        </w:tc>
      </w:tr>
      <w:tr w:rsidR="00AB1998">
        <w:trPr>
          <w:trHeight w:val="280"/>
        </w:trPr>
        <w:tc>
          <w:tcPr>
            <w:tcW w:w="4850" w:type="dxa"/>
          </w:tcPr>
          <w:p w:rsidR="00AB1998" w:rsidRDefault="00307328">
            <w:pPr>
              <w:jc w:val="center"/>
              <w:rPr>
                <w:rFonts w:ascii="Arial" w:hAnsi="Arial"/>
                <w:b/>
                <w:snapToGrid w:val="0"/>
                <w:color w:val="000000"/>
              </w:rPr>
            </w:pPr>
            <w:r>
              <w:rPr>
                <w:rFonts w:ascii="Arial" w:hAnsi="Arial"/>
                <w:b/>
                <w:snapToGrid w:val="0"/>
                <w:color w:val="000000"/>
              </w:rPr>
              <w:t>Премия по форвардной сделке на 5 месяцев</w:t>
            </w:r>
          </w:p>
        </w:tc>
        <w:tc>
          <w:tcPr>
            <w:tcW w:w="2126" w:type="dxa"/>
          </w:tcPr>
          <w:p w:rsidR="00AB1998" w:rsidRDefault="00307328">
            <w:pPr>
              <w:jc w:val="center"/>
              <w:rPr>
                <w:rFonts w:ascii="Arial" w:hAnsi="Arial"/>
                <w:b/>
                <w:snapToGrid w:val="0"/>
                <w:color w:val="000000"/>
              </w:rPr>
            </w:pPr>
            <w:r>
              <w:rPr>
                <w:rFonts w:ascii="Arial" w:hAnsi="Arial"/>
                <w:b/>
                <w:snapToGrid w:val="0"/>
                <w:color w:val="000000"/>
              </w:rPr>
              <w:t>0,081</w:t>
            </w:r>
          </w:p>
        </w:tc>
        <w:tc>
          <w:tcPr>
            <w:tcW w:w="1985" w:type="dxa"/>
          </w:tcPr>
          <w:p w:rsidR="00AB1998" w:rsidRDefault="00307328">
            <w:pPr>
              <w:jc w:val="center"/>
              <w:rPr>
                <w:rFonts w:ascii="Arial" w:hAnsi="Arial"/>
                <w:b/>
                <w:snapToGrid w:val="0"/>
                <w:color w:val="000000"/>
              </w:rPr>
            </w:pPr>
            <w:r>
              <w:rPr>
                <w:rFonts w:ascii="Arial" w:hAnsi="Arial"/>
                <w:b/>
                <w:snapToGrid w:val="0"/>
                <w:color w:val="000000"/>
              </w:rPr>
              <w:t>0,086</w:t>
            </w:r>
          </w:p>
        </w:tc>
      </w:tr>
    </w:tbl>
    <w:p w:rsidR="00AB1998" w:rsidRDefault="00AB1998">
      <w:pPr>
        <w:ind w:firstLine="851"/>
        <w:jc w:val="both"/>
        <w:rPr>
          <w:sz w:val="24"/>
          <w:lang w:val="en-US"/>
        </w:rPr>
      </w:pPr>
    </w:p>
    <w:p w:rsidR="00AB1998" w:rsidRDefault="00307328">
      <w:pPr>
        <w:ind w:firstLine="851"/>
        <w:jc w:val="both"/>
        <w:rPr>
          <w:sz w:val="24"/>
        </w:rPr>
      </w:pPr>
      <w:r>
        <w:rPr>
          <w:sz w:val="24"/>
        </w:rPr>
        <w:t xml:space="preserve">Банк продает доллары на франки сроком на 5 месяцев по курсу покупателя (премия 0,081). При завершении сделки банк получает прибыль, равную 0,0810-0,0490=0,0320 ,или 32 тыс. франц. франка на каждый вложенный миллион долларов. Приведенный пример иллюстрирует наиболее сложный вид процентного арбитража, получивший название </w:t>
      </w:r>
      <w:r>
        <w:rPr>
          <w:sz w:val="24"/>
          <w:lang w:val="en-US"/>
        </w:rPr>
        <w:t>“</w:t>
      </w:r>
      <w:r>
        <w:rPr>
          <w:sz w:val="24"/>
        </w:rPr>
        <w:t>форвард против форварда</w:t>
      </w:r>
      <w:r>
        <w:rPr>
          <w:sz w:val="24"/>
          <w:lang w:val="en-US"/>
        </w:rPr>
        <w:t>”</w:t>
      </w:r>
      <w:r>
        <w:rPr>
          <w:sz w:val="24"/>
        </w:rPr>
        <w:t xml:space="preserve">. Эта операция базируется на оценках рыночной динамики валютных курсов </w:t>
      </w:r>
      <w:r>
        <w:rPr>
          <w:sz w:val="24"/>
          <w:lang w:val="en-US"/>
        </w:rPr>
        <w:t>“</w:t>
      </w:r>
      <w:r>
        <w:rPr>
          <w:sz w:val="24"/>
        </w:rPr>
        <w:t>спот</w:t>
      </w:r>
      <w:r>
        <w:rPr>
          <w:sz w:val="24"/>
          <w:lang w:val="en-US"/>
        </w:rPr>
        <w:t>”</w:t>
      </w:r>
      <w:r>
        <w:rPr>
          <w:sz w:val="24"/>
        </w:rPr>
        <w:t xml:space="preserve"> и </w:t>
      </w:r>
      <w:r>
        <w:rPr>
          <w:sz w:val="24"/>
          <w:lang w:val="en-US"/>
        </w:rPr>
        <w:t>“</w:t>
      </w:r>
      <w:r>
        <w:rPr>
          <w:sz w:val="24"/>
        </w:rPr>
        <w:t>форвард</w:t>
      </w:r>
      <w:r>
        <w:rPr>
          <w:sz w:val="24"/>
          <w:lang w:val="en-US"/>
        </w:rPr>
        <w:t>”</w:t>
      </w:r>
      <w:r>
        <w:rPr>
          <w:sz w:val="24"/>
        </w:rPr>
        <w:t>, а также ставок по депозитам в соответствующих валютах сроком на 1,3 и 6 месяцев.</w:t>
      </w:r>
    </w:p>
    <w:p w:rsidR="00AB1998" w:rsidRDefault="00307328">
      <w:pPr>
        <w:ind w:firstLine="851"/>
        <w:jc w:val="both"/>
        <w:rPr>
          <w:sz w:val="24"/>
        </w:rPr>
      </w:pPr>
      <w:r>
        <w:rPr>
          <w:sz w:val="24"/>
        </w:rPr>
        <w:t xml:space="preserve">Операции </w:t>
      </w:r>
      <w:r>
        <w:rPr>
          <w:sz w:val="24"/>
          <w:lang w:val="en-US"/>
        </w:rPr>
        <w:t>“</w:t>
      </w:r>
      <w:r>
        <w:rPr>
          <w:sz w:val="24"/>
        </w:rPr>
        <w:t xml:space="preserve">форвард – форвард </w:t>
      </w:r>
      <w:r>
        <w:rPr>
          <w:sz w:val="24"/>
          <w:lang w:val="en-US"/>
        </w:rPr>
        <w:t>”</w:t>
      </w:r>
      <w:r>
        <w:rPr>
          <w:sz w:val="24"/>
        </w:rPr>
        <w:t>, зависящие от прогнозирования процентных ставок в будущем, с середины 80-х годов тесно увязываются с фьючерсными сделками по процентам, т. е. покупкой и продажей контрактов на определенную процентную ставку в будущем (через 3-6 месяцев).</w:t>
      </w:r>
    </w:p>
    <w:p w:rsidR="00AB1998" w:rsidRDefault="00307328">
      <w:pPr>
        <w:ind w:firstLine="851"/>
        <w:jc w:val="both"/>
        <w:rPr>
          <w:sz w:val="24"/>
        </w:rPr>
      </w:pPr>
      <w:r>
        <w:rPr>
          <w:sz w:val="24"/>
        </w:rPr>
        <w:t xml:space="preserve">Валютный арбитраж устанавливает связь между движением краткосрочных капиталов и динамикой процентных ставок на национальном и иностранных рынках ссудных капиталов, содействует выравниванию конъюнктуры валютных рынков, а также создает условия для перемещения спекулятивных </w:t>
      </w:r>
      <w:r>
        <w:rPr>
          <w:sz w:val="24"/>
          <w:lang w:val="en-US"/>
        </w:rPr>
        <w:t>“</w:t>
      </w:r>
      <w:r>
        <w:rPr>
          <w:sz w:val="24"/>
        </w:rPr>
        <w:t>горячих</w:t>
      </w:r>
      <w:r>
        <w:rPr>
          <w:sz w:val="24"/>
          <w:lang w:val="en-US"/>
        </w:rPr>
        <w:t>”</w:t>
      </w:r>
      <w:r>
        <w:rPr>
          <w:sz w:val="24"/>
        </w:rPr>
        <w:t xml:space="preserve"> денег.</w:t>
      </w:r>
    </w:p>
    <w:p w:rsidR="00AB1998" w:rsidRDefault="00307328">
      <w:pPr>
        <w:ind w:firstLine="851"/>
        <w:jc w:val="both"/>
        <w:rPr>
          <w:sz w:val="24"/>
        </w:rPr>
      </w:pPr>
      <w:r>
        <w:rPr>
          <w:sz w:val="24"/>
        </w:rPr>
        <w:t>По некоторым оценкам, в начале 70-х годов увеличение на 1 пункт процентной ставки по долгосрочным облигациям ФРГ вызывало приток 660 млн. долл. краткосрочных  капиталов, а повышение ставки по межбанковским депозитам стимулировало приток 220 млн. долл. с лагом в один квартал. Проводившаяся администрацией США политика повышенных процентных ставок способствовала притоку в страну иностранных капиталов из Западной Европы, Японии в размере 500 млрд. долл. (брутто) в 1980-1985гг.</w:t>
      </w:r>
    </w:p>
    <w:p w:rsidR="00AB1998" w:rsidRDefault="00AB1998">
      <w:pPr>
        <w:ind w:firstLine="851"/>
        <w:jc w:val="both"/>
        <w:rPr>
          <w:b/>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ind w:firstLine="851"/>
        <w:jc w:val="both"/>
        <w:rPr>
          <w:sz w:val="24"/>
        </w:rPr>
      </w:pPr>
    </w:p>
    <w:p w:rsidR="00AB1998" w:rsidRDefault="00AB1998">
      <w:pPr>
        <w:jc w:val="both"/>
        <w:rPr>
          <w:sz w:val="24"/>
        </w:rPr>
      </w:pPr>
    </w:p>
    <w:p w:rsidR="00AB1998" w:rsidRDefault="00AB1998">
      <w:pPr>
        <w:ind w:firstLine="851"/>
        <w:jc w:val="both"/>
        <w:rPr>
          <w:sz w:val="24"/>
        </w:rPr>
      </w:pPr>
    </w:p>
    <w:p w:rsidR="00AB1998" w:rsidRDefault="00AB1998">
      <w:pPr>
        <w:jc w:val="both"/>
        <w:rPr>
          <w:sz w:val="24"/>
        </w:rPr>
      </w:pPr>
    </w:p>
    <w:p w:rsidR="00AB1998" w:rsidRDefault="00307328">
      <w:pPr>
        <w:pStyle w:val="5"/>
        <w:rPr>
          <w:shadow/>
        </w:rPr>
      </w:pPr>
      <w:r>
        <w:rPr>
          <w:shadow/>
        </w:rPr>
        <w:t>Список использованной литературы.</w:t>
      </w:r>
    </w:p>
    <w:p w:rsidR="00AB1998" w:rsidRDefault="00AB1998">
      <w:pPr>
        <w:spacing w:line="480" w:lineRule="auto"/>
        <w:ind w:firstLine="851"/>
        <w:rPr>
          <w:sz w:val="28"/>
        </w:rPr>
      </w:pPr>
    </w:p>
    <w:p w:rsidR="00AB1998" w:rsidRDefault="00307328">
      <w:pPr>
        <w:numPr>
          <w:ilvl w:val="0"/>
          <w:numId w:val="24"/>
        </w:numPr>
        <w:spacing w:line="480" w:lineRule="auto"/>
        <w:rPr>
          <w:sz w:val="24"/>
        </w:rPr>
      </w:pPr>
      <w:r>
        <w:rPr>
          <w:sz w:val="24"/>
        </w:rPr>
        <w:t xml:space="preserve">Красавина Л.  Международные валютно-кредитные и финансовые отношения. </w:t>
      </w:r>
    </w:p>
    <w:p w:rsidR="00AB1998" w:rsidRDefault="00307328">
      <w:pPr>
        <w:spacing w:line="480" w:lineRule="auto"/>
        <w:ind w:left="360"/>
        <w:rPr>
          <w:sz w:val="24"/>
        </w:rPr>
      </w:pPr>
      <w:r>
        <w:rPr>
          <w:sz w:val="24"/>
        </w:rPr>
        <w:t>/ М.: «Финансы и статистика», 1994г.</w:t>
      </w:r>
    </w:p>
    <w:p w:rsidR="00AB1998" w:rsidRDefault="00307328">
      <w:pPr>
        <w:numPr>
          <w:ilvl w:val="0"/>
          <w:numId w:val="24"/>
        </w:numPr>
        <w:spacing w:line="480" w:lineRule="auto"/>
        <w:rPr>
          <w:sz w:val="24"/>
        </w:rPr>
      </w:pPr>
      <w:r>
        <w:rPr>
          <w:sz w:val="24"/>
        </w:rPr>
        <w:t>Балабанов И. Валютные операции. / М.: «Финансы и статистика», 1993г.</w:t>
      </w:r>
    </w:p>
    <w:p w:rsidR="00AB1998" w:rsidRDefault="00307328">
      <w:pPr>
        <w:numPr>
          <w:ilvl w:val="0"/>
          <w:numId w:val="24"/>
        </w:numPr>
        <w:spacing w:line="480" w:lineRule="auto"/>
        <w:rPr>
          <w:sz w:val="24"/>
        </w:rPr>
      </w:pPr>
      <w:r>
        <w:rPr>
          <w:sz w:val="24"/>
        </w:rPr>
        <w:t>Валютное регулирование. Методическое пособие. / «Баланс-Клуб», 1997г.</w:t>
      </w:r>
    </w:p>
    <w:p w:rsidR="00AB1998" w:rsidRDefault="00307328">
      <w:pPr>
        <w:numPr>
          <w:ilvl w:val="0"/>
          <w:numId w:val="24"/>
        </w:numPr>
        <w:spacing w:line="480" w:lineRule="auto"/>
        <w:rPr>
          <w:sz w:val="24"/>
        </w:rPr>
      </w:pPr>
      <w:r>
        <w:rPr>
          <w:sz w:val="24"/>
        </w:rPr>
        <w:t>Григорьев Ю. Учет, анализ, контроль валютных операций. /  М.: «Экономика и жизнь», 1994г.</w:t>
      </w:r>
    </w:p>
    <w:p w:rsidR="00AB1998" w:rsidRDefault="00307328">
      <w:pPr>
        <w:numPr>
          <w:ilvl w:val="0"/>
          <w:numId w:val="24"/>
        </w:numPr>
        <w:spacing w:line="480" w:lineRule="auto"/>
        <w:rPr>
          <w:sz w:val="24"/>
        </w:rPr>
      </w:pPr>
      <w:r>
        <w:rPr>
          <w:sz w:val="24"/>
        </w:rPr>
        <w:t>Власюк И.  Валютный курс. / Еженедельник «Бизнес», 09.03.98, стр17</w:t>
      </w:r>
      <w:bookmarkStart w:id="0" w:name="_GoBack"/>
      <w:bookmarkEnd w:id="0"/>
    </w:p>
    <w:sectPr w:rsidR="00AB1998">
      <w:headerReference w:type="even" r:id="rId7"/>
      <w:headerReference w:type="default" r:id="rId8"/>
      <w:pgSz w:w="11906" w:h="16838"/>
      <w:pgMar w:top="1418"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98" w:rsidRDefault="00307328">
      <w:r>
        <w:separator/>
      </w:r>
    </w:p>
  </w:endnote>
  <w:endnote w:type="continuationSeparator" w:id="0">
    <w:p w:rsidR="00AB1998" w:rsidRDefault="0030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98" w:rsidRDefault="00307328">
      <w:r>
        <w:separator/>
      </w:r>
    </w:p>
  </w:footnote>
  <w:footnote w:type="continuationSeparator" w:id="0">
    <w:p w:rsidR="00AB1998" w:rsidRDefault="00307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98" w:rsidRDefault="003073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AB1998" w:rsidRDefault="00AB199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98" w:rsidRDefault="003073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AB1998" w:rsidRDefault="00AB19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D69"/>
    <w:multiLevelType w:val="multilevel"/>
    <w:tmpl w:val="B12ED6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A41BD5"/>
    <w:multiLevelType w:val="singleLevel"/>
    <w:tmpl w:val="D88E7E56"/>
    <w:lvl w:ilvl="0">
      <w:start w:val="1"/>
      <w:numFmt w:val="bullet"/>
      <w:lvlText w:val="-"/>
      <w:lvlJc w:val="left"/>
      <w:pPr>
        <w:tabs>
          <w:tab w:val="num" w:pos="360"/>
        </w:tabs>
        <w:ind w:left="360" w:hanging="360"/>
      </w:pPr>
      <w:rPr>
        <w:rFonts w:hint="default"/>
      </w:rPr>
    </w:lvl>
  </w:abstractNum>
  <w:abstractNum w:abstractNumId="2">
    <w:nsid w:val="03212D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7CA1403"/>
    <w:multiLevelType w:val="multilevel"/>
    <w:tmpl w:val="C150C55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680"/>
        </w:tabs>
        <w:ind w:left="1680" w:hanging="420"/>
      </w:pPr>
      <w:rPr>
        <w:rFonts w:hint="default"/>
      </w:rPr>
    </w:lvl>
    <w:lvl w:ilvl="2">
      <w:start w:val="1"/>
      <w:numFmt w:val="decimal"/>
      <w:isLgl/>
      <w:lvlText w:val="%1.%2.%3."/>
      <w:lvlJc w:val="left"/>
      <w:pPr>
        <w:tabs>
          <w:tab w:val="num" w:pos="2389"/>
        </w:tabs>
        <w:ind w:left="2389" w:hanging="720"/>
      </w:pPr>
      <w:rPr>
        <w:rFonts w:hint="default"/>
      </w:rPr>
    </w:lvl>
    <w:lvl w:ilvl="3">
      <w:start w:val="1"/>
      <w:numFmt w:val="decimal"/>
      <w:isLgl/>
      <w:lvlText w:val="%1.%2.%3.%4."/>
      <w:lvlJc w:val="left"/>
      <w:pPr>
        <w:tabs>
          <w:tab w:val="num" w:pos="2798"/>
        </w:tabs>
        <w:ind w:left="2798" w:hanging="720"/>
      </w:pPr>
      <w:rPr>
        <w:rFonts w:hint="default"/>
      </w:rPr>
    </w:lvl>
    <w:lvl w:ilvl="4">
      <w:start w:val="1"/>
      <w:numFmt w:val="decimal"/>
      <w:isLgl/>
      <w:lvlText w:val="%1.%2.%3.%4.%5."/>
      <w:lvlJc w:val="left"/>
      <w:pPr>
        <w:tabs>
          <w:tab w:val="num" w:pos="3567"/>
        </w:tabs>
        <w:ind w:left="3567" w:hanging="1080"/>
      </w:pPr>
      <w:rPr>
        <w:rFonts w:hint="default"/>
      </w:rPr>
    </w:lvl>
    <w:lvl w:ilvl="5">
      <w:start w:val="1"/>
      <w:numFmt w:val="decimal"/>
      <w:isLgl/>
      <w:lvlText w:val="%1.%2.%3.%4.%5.%6."/>
      <w:lvlJc w:val="left"/>
      <w:pPr>
        <w:tabs>
          <w:tab w:val="num" w:pos="3976"/>
        </w:tabs>
        <w:ind w:left="3976" w:hanging="1080"/>
      </w:pPr>
      <w:rPr>
        <w:rFonts w:hint="default"/>
      </w:rPr>
    </w:lvl>
    <w:lvl w:ilvl="6">
      <w:start w:val="1"/>
      <w:numFmt w:val="decimal"/>
      <w:isLgl/>
      <w:lvlText w:val="%1.%2.%3.%4.%5.%6.%7."/>
      <w:lvlJc w:val="left"/>
      <w:pPr>
        <w:tabs>
          <w:tab w:val="num" w:pos="4745"/>
        </w:tabs>
        <w:ind w:left="4745" w:hanging="1440"/>
      </w:pPr>
      <w:rPr>
        <w:rFonts w:hint="default"/>
      </w:rPr>
    </w:lvl>
    <w:lvl w:ilvl="7">
      <w:start w:val="1"/>
      <w:numFmt w:val="decimal"/>
      <w:isLgl/>
      <w:lvlText w:val="%1.%2.%3.%4.%5.%6.%7.%8."/>
      <w:lvlJc w:val="left"/>
      <w:pPr>
        <w:tabs>
          <w:tab w:val="num" w:pos="5154"/>
        </w:tabs>
        <w:ind w:left="5154" w:hanging="1440"/>
      </w:pPr>
      <w:rPr>
        <w:rFonts w:hint="default"/>
      </w:rPr>
    </w:lvl>
    <w:lvl w:ilvl="8">
      <w:start w:val="1"/>
      <w:numFmt w:val="decimal"/>
      <w:isLgl/>
      <w:lvlText w:val="%1.%2.%3.%4.%5.%6.%7.%8.%9."/>
      <w:lvlJc w:val="left"/>
      <w:pPr>
        <w:tabs>
          <w:tab w:val="num" w:pos="5923"/>
        </w:tabs>
        <w:ind w:left="5923" w:hanging="1800"/>
      </w:pPr>
      <w:rPr>
        <w:rFonts w:hint="default"/>
      </w:rPr>
    </w:lvl>
  </w:abstractNum>
  <w:abstractNum w:abstractNumId="4">
    <w:nsid w:val="0E992A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1DA7FDD"/>
    <w:multiLevelType w:val="singleLevel"/>
    <w:tmpl w:val="2A1E1362"/>
    <w:lvl w:ilvl="0">
      <w:start w:val="1"/>
      <w:numFmt w:val="bullet"/>
      <w:lvlText w:val=""/>
      <w:lvlJc w:val="left"/>
      <w:pPr>
        <w:tabs>
          <w:tab w:val="num" w:pos="360"/>
        </w:tabs>
        <w:ind w:left="360" w:hanging="360"/>
      </w:pPr>
      <w:rPr>
        <w:rFonts w:ascii="Wingdings" w:hAnsi="Wingdings" w:hint="default"/>
      </w:rPr>
    </w:lvl>
  </w:abstractNum>
  <w:abstractNum w:abstractNumId="6">
    <w:nsid w:val="16E16F48"/>
    <w:multiLevelType w:val="singleLevel"/>
    <w:tmpl w:val="D8AE22F6"/>
    <w:lvl w:ilvl="0">
      <w:start w:val="1"/>
      <w:numFmt w:val="decimal"/>
      <w:lvlText w:val="%1."/>
      <w:lvlJc w:val="left"/>
      <w:pPr>
        <w:tabs>
          <w:tab w:val="num" w:pos="1256"/>
        </w:tabs>
        <w:ind w:left="1256" w:hanging="405"/>
      </w:pPr>
      <w:rPr>
        <w:rFonts w:hint="default"/>
      </w:rPr>
    </w:lvl>
  </w:abstractNum>
  <w:abstractNum w:abstractNumId="7">
    <w:nsid w:val="19E51E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BC91C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2665D71"/>
    <w:multiLevelType w:val="singleLevel"/>
    <w:tmpl w:val="A7248A54"/>
    <w:lvl w:ilvl="0">
      <w:numFmt w:val="bullet"/>
      <w:lvlText w:val="–"/>
      <w:lvlJc w:val="left"/>
      <w:pPr>
        <w:tabs>
          <w:tab w:val="num" w:pos="1170"/>
        </w:tabs>
        <w:ind w:left="1170" w:hanging="360"/>
      </w:pPr>
      <w:rPr>
        <w:rFonts w:hint="default"/>
      </w:rPr>
    </w:lvl>
  </w:abstractNum>
  <w:abstractNum w:abstractNumId="10">
    <w:nsid w:val="271D37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9043A12"/>
    <w:multiLevelType w:val="singleLevel"/>
    <w:tmpl w:val="2A1E1362"/>
    <w:lvl w:ilvl="0">
      <w:start w:val="1"/>
      <w:numFmt w:val="bullet"/>
      <w:lvlText w:val=""/>
      <w:lvlJc w:val="left"/>
      <w:pPr>
        <w:tabs>
          <w:tab w:val="num" w:pos="360"/>
        </w:tabs>
        <w:ind w:left="360" w:hanging="360"/>
      </w:pPr>
      <w:rPr>
        <w:rFonts w:ascii="Wingdings" w:hAnsi="Wingdings" w:hint="default"/>
      </w:rPr>
    </w:lvl>
  </w:abstractNum>
  <w:abstractNum w:abstractNumId="12">
    <w:nsid w:val="2CF57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9B043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CF957EE"/>
    <w:multiLevelType w:val="multilevel"/>
    <w:tmpl w:val="06E617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42629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5DC4F9A"/>
    <w:multiLevelType w:val="multilevel"/>
    <w:tmpl w:val="4DDA0C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FC4F88"/>
    <w:multiLevelType w:val="multilevel"/>
    <w:tmpl w:val="A8CC34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2065068"/>
    <w:multiLevelType w:val="multilevel"/>
    <w:tmpl w:val="B8FE762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660762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3EA3912"/>
    <w:multiLevelType w:val="singleLevel"/>
    <w:tmpl w:val="0419000F"/>
    <w:lvl w:ilvl="0">
      <w:start w:val="1"/>
      <w:numFmt w:val="decimal"/>
      <w:lvlText w:val="%1."/>
      <w:lvlJc w:val="left"/>
      <w:pPr>
        <w:tabs>
          <w:tab w:val="num" w:pos="360"/>
        </w:tabs>
        <w:ind w:left="360" w:hanging="360"/>
      </w:pPr>
    </w:lvl>
  </w:abstractNum>
  <w:abstractNum w:abstractNumId="21">
    <w:nsid w:val="7BFA742E"/>
    <w:multiLevelType w:val="singleLevel"/>
    <w:tmpl w:val="A7248A54"/>
    <w:lvl w:ilvl="0">
      <w:numFmt w:val="bullet"/>
      <w:lvlText w:val="–"/>
      <w:lvlJc w:val="left"/>
      <w:pPr>
        <w:tabs>
          <w:tab w:val="num" w:pos="1170"/>
        </w:tabs>
        <w:ind w:left="1170" w:hanging="360"/>
      </w:pPr>
      <w:rPr>
        <w:rFonts w:hint="default"/>
      </w:rPr>
    </w:lvl>
  </w:abstractNum>
  <w:abstractNum w:abstractNumId="22">
    <w:nsid w:val="7D67323E"/>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22"/>
  </w:num>
  <w:num w:numId="3">
    <w:abstractNumId w:val="11"/>
  </w:num>
  <w:num w:numId="4">
    <w:abstractNumId w:val="21"/>
  </w:num>
  <w:num w:numId="5">
    <w:abstractNumId w:val="9"/>
  </w:num>
  <w:num w:numId="6">
    <w:abstractNumId w:val="3"/>
  </w:num>
  <w:num w:numId="7">
    <w:abstractNumId w:val="6"/>
  </w:num>
  <w:num w:numId="8">
    <w:abstractNumId w:val="18"/>
  </w:num>
  <w:num w:numId="9">
    <w:abstractNumId w:val="16"/>
  </w:num>
  <w:num w:numId="10">
    <w:abstractNumId w:val="1"/>
  </w:num>
  <w:num w:numId="11">
    <w:abstractNumId w:val="14"/>
  </w:num>
  <w:num w:numId="12">
    <w:abstractNumId w:val="0"/>
  </w:num>
  <w:num w:numId="13">
    <w:abstractNumId w:val="17"/>
  </w:num>
  <w:num w:numId="14">
    <w:abstractNumId w:val="19"/>
  </w:num>
  <w:num w:numId="15">
    <w:abstractNumId w:val="15"/>
  </w:num>
  <w:num w:numId="16">
    <w:abstractNumId w:val="4"/>
  </w:num>
  <w:num w:numId="17">
    <w:abstractNumId w:val="7"/>
  </w:num>
  <w:num w:numId="18">
    <w:abstractNumId w:val="13"/>
  </w:num>
  <w:num w:numId="19">
    <w:abstractNumId w:val="10"/>
  </w:num>
  <w:num w:numId="20">
    <w:abstractNumId w:val="12"/>
  </w:num>
  <w:num w:numId="21">
    <w:abstractNumId w:val="8"/>
  </w:num>
  <w:num w:numId="22">
    <w:abstractNumId w:val="2"/>
  </w:num>
  <w:num w:numId="23">
    <w:abstractNumId w:val="16"/>
    <w:lvlOverride w:ilvl="0">
      <w:startOverride w:val="2"/>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328"/>
    <w:rsid w:val="00307328"/>
    <w:rsid w:val="00AB1998"/>
    <w:rsid w:val="00C6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F24BA-591A-4860-97ED-8E41D59C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i/>
      <w:sz w:val="36"/>
      <w:lang w:val="uk-UA"/>
    </w:rPr>
  </w:style>
  <w:style w:type="paragraph" w:styleId="2">
    <w:name w:val="heading 2"/>
    <w:basedOn w:val="a"/>
    <w:next w:val="a"/>
    <w:qFormat/>
    <w:pPr>
      <w:keepNext/>
      <w:spacing w:line="360" w:lineRule="auto"/>
      <w:outlineLvl w:val="1"/>
    </w:pPr>
    <w:rPr>
      <w:rFonts w:ascii="Arial" w:hAnsi="Arial"/>
      <w:b/>
      <w:i/>
      <w:sz w:val="36"/>
    </w:rPr>
  </w:style>
  <w:style w:type="paragraph" w:styleId="3">
    <w:name w:val="heading 3"/>
    <w:basedOn w:val="a"/>
    <w:next w:val="a"/>
    <w:qFormat/>
    <w:pPr>
      <w:keepNext/>
      <w:jc w:val="center"/>
      <w:outlineLvl w:val="2"/>
    </w:pPr>
    <w:rPr>
      <w:rFonts w:ascii="Arial" w:hAnsi="Arial"/>
      <w:b/>
      <w:i/>
      <w:sz w:val="40"/>
    </w:rPr>
  </w:style>
  <w:style w:type="paragraph" w:styleId="4">
    <w:name w:val="heading 4"/>
    <w:basedOn w:val="a"/>
    <w:next w:val="a"/>
    <w:qFormat/>
    <w:pPr>
      <w:keepNext/>
      <w:jc w:val="center"/>
      <w:outlineLvl w:val="3"/>
    </w:pPr>
    <w:rPr>
      <w:rFonts w:ascii="Arial" w:hAnsi="Arial"/>
      <w:b/>
      <w:i/>
      <w:outline/>
      <w:spacing w:val="200"/>
      <w:sz w:val="96"/>
    </w:rPr>
  </w:style>
  <w:style w:type="paragraph" w:styleId="5">
    <w:name w:val="heading 5"/>
    <w:basedOn w:val="a"/>
    <w:next w:val="a"/>
    <w:qFormat/>
    <w:pPr>
      <w:keepNext/>
      <w:ind w:firstLine="851"/>
      <w:jc w:val="center"/>
      <w:outlineLvl w:val="4"/>
    </w:pPr>
    <w:rPr>
      <w:sz w:val="28"/>
    </w:rPr>
  </w:style>
  <w:style w:type="paragraph" w:styleId="6">
    <w:name w:val="heading 6"/>
    <w:basedOn w:val="a"/>
    <w:next w:val="a"/>
    <w:qFormat/>
    <w:pPr>
      <w:keepNext/>
      <w:jc w:val="center"/>
      <w:outlineLvl w:val="5"/>
    </w:pPr>
    <w:rPr>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sz w:val="24"/>
      <w:lang w:val="en-US"/>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Body Text"/>
    <w:basedOn w:val="a"/>
    <w:semiHidden/>
    <w:rPr>
      <w:sz w:val="24"/>
    </w:rPr>
  </w:style>
  <w:style w:type="paragraph" w:styleId="20">
    <w:name w:val="Body Text Indent 2"/>
    <w:basedOn w:val="a"/>
    <w:semiHidden/>
    <w:pPr>
      <w:ind w:firstLine="900"/>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КИПКС</Company>
  <LinksUpToDate>false</LinksUpToDate>
  <CharactersWithSpaces>34159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Кафедра ИВТ</dc:creator>
  <cp:keywords/>
  <cp:lastModifiedBy>Irina</cp:lastModifiedBy>
  <cp:revision>2</cp:revision>
  <cp:lastPrinted>1998-12-01T06:02:00Z</cp:lastPrinted>
  <dcterms:created xsi:type="dcterms:W3CDTF">2014-08-06T16:01:00Z</dcterms:created>
  <dcterms:modified xsi:type="dcterms:W3CDTF">2014-08-06T16:01:00Z</dcterms:modified>
</cp:coreProperties>
</file>