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B8" w:rsidRDefault="00B679F8">
      <w:pPr>
        <w:pStyle w:val="1"/>
        <w:jc w:val="center"/>
      </w:pPr>
      <w:r>
        <w:t>Связь техногенного загрязнения атмосферы и здоровья населения республики Калмыкия</w:t>
      </w:r>
    </w:p>
    <w:p w:rsidR="000024B8" w:rsidRPr="00B679F8" w:rsidRDefault="00B679F8">
      <w:pPr>
        <w:pStyle w:val="a3"/>
      </w:pPr>
      <w:r>
        <w:t> </w:t>
      </w:r>
    </w:p>
    <w:p w:rsidR="000024B8" w:rsidRDefault="00B679F8">
      <w:pPr>
        <w:pStyle w:val="a3"/>
      </w:pPr>
      <w:r>
        <w:t>Г. Э. Настинова, К. И. Бадмаева</w:t>
      </w:r>
    </w:p>
    <w:p w:rsidR="000024B8" w:rsidRDefault="00B679F8">
      <w:pPr>
        <w:pStyle w:val="a3"/>
      </w:pPr>
      <w:r>
        <w:t>Калмыцкий государственный университет, Россия</w:t>
      </w:r>
    </w:p>
    <w:p w:rsidR="000024B8" w:rsidRDefault="00B679F8">
      <w:pPr>
        <w:pStyle w:val="a3"/>
      </w:pPr>
      <w:r>
        <w:t>Территория республики Калмыкия характеризуется выраженной неоднородностью по ряду экологических факторов антропогенного и техногенного характера. В республике имеет место ухуд - шение здоровья населения, так как территория характеризуется множественными неблагоприятными факторами внешней среды, сложными социально-экономическими условиями. Приоритетным фактором, оказывающим непосредственное воздействие на здоровье населения, является загрязнение атмосферного воздуха.</w:t>
      </w:r>
    </w:p>
    <w:p w:rsidR="000024B8" w:rsidRDefault="00B679F8">
      <w:pPr>
        <w:pStyle w:val="a3"/>
      </w:pPr>
      <w:r>
        <w:t>При составлении анализа в качестве источников информации использованы материалы, полученные в ходе специальных эпидемиолого-стати- стических исследований, а именно: отчетные статистические материалы Госкомстата РФ; городских и республиканских лечебно-профилактических ведомств; результаты лабораторно-инструментальных исследований качества атмосферного воздуха, вод, почвы, выполненных Территориальным управлением Роспотребнадзора республики; ГУ «Калмыцкий республиканский центр по гидрометеорологии и мониторингу окружающей среды». В ходе экспедиционных выездов в течение 20082009 годов проводили отбор проб на пунктах наблюдения за атмосферным воздухом в г. Элисте и отдельных районов республики. Полученные результаты обработаны статистически и представлены в сводных таблицах и рисунках.</w:t>
      </w:r>
    </w:p>
    <w:p w:rsidR="000024B8" w:rsidRDefault="00B679F8">
      <w:pPr>
        <w:pStyle w:val="a3"/>
      </w:pPr>
      <w:r>
        <w:t>В настоящее время основной вклад в загрязнение атмосферного воздуха на территории Калмыкии вносят следующие отрасли: теплоэнергетика (тепловые электростанции, промышленные и городские котельные и др.), далее предприятия неф- те- и газодобычи, автотранспорт и производство стройматериалов.</w:t>
      </w:r>
    </w:p>
    <w:p w:rsidR="000024B8" w:rsidRDefault="00B679F8">
      <w:pPr>
        <w:pStyle w:val="a3"/>
      </w:pPr>
      <w:r>
        <w:t>Ведущее место в структуре производства Калмыкии занимает нефтедобывающее производство. Республика относится к регионам с доказанной нефтегазоносностью и весьма перспективна для дальнейших поисков месторождений нефти и газа. Всего на территории Калмыкии по состоянию на 01.01.2009 г., числится 41 месторождение углеводородного сырья, в том числе - 19 нефтяных, - 11 газовых, - 6 нефтегазовых и - 5 нефтегазоконденсатных [1].</w:t>
      </w:r>
    </w:p>
    <w:p w:rsidR="000024B8" w:rsidRDefault="00B679F8">
      <w:pPr>
        <w:pStyle w:val="a3"/>
      </w:pPr>
      <w:r>
        <w:t>В 2009 году действовало около 50 крупных и средних промышленных предприятий, в число источников загрязнения включены 23 предприятия и ТЭЦ. Большая часть выбросов загрязняющих веществ поступает в атмосферу из труб котельных установок, потребляющих более 60 % добываемого твердого и жидкого топлива.</w:t>
      </w:r>
    </w:p>
    <w:p w:rsidR="000024B8" w:rsidRDefault="00B679F8">
      <w:pPr>
        <w:pStyle w:val="a3"/>
      </w:pPr>
      <w:r>
        <w:t>В таблице 1 представлен перечень предприятий - основных источников загрязнения атмосферы в 2009 году.</w:t>
      </w:r>
    </w:p>
    <w:p w:rsidR="000024B8" w:rsidRDefault="00B679F8">
      <w:pPr>
        <w:pStyle w:val="a3"/>
      </w:pPr>
      <w:r>
        <w:t>Теплоэнергетическое хозяйство включает в себя 137 котельных, с установленными 480 кот - лами, с суммарной тепловой мощностью 516,3 Гкал/час, в том числе г. Элиста - 34 котельных мощностью 311,4 Гкал/час.</w:t>
      </w:r>
    </w:p>
    <w:p w:rsidR="000024B8" w:rsidRDefault="00B679F8">
      <w:pPr>
        <w:pStyle w:val="a3"/>
      </w:pPr>
      <w:r>
        <w:t>Перечень предприятий - основных источников загрязнения атмосферы в 2009 году</w:t>
      </w:r>
    </w:p>
    <w:p w:rsidR="000024B8" w:rsidRDefault="00B679F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0024B8">
        <w:trPr>
          <w:trHeight w:val="855"/>
          <w:tblCellSpacing w:w="0" w:type="dxa"/>
        </w:trPr>
        <w:tc>
          <w:tcPr>
            <w:tcW w:w="0" w:type="auto"/>
            <w:vAlign w:val="center"/>
            <w:hideMark/>
          </w:tcPr>
          <w:p w:rsidR="000024B8" w:rsidRPr="00B679F8" w:rsidRDefault="00B679F8">
            <w:pPr>
              <w:pStyle w:val="a3"/>
            </w:pPr>
            <w:r w:rsidRPr="00B679F8">
              <w:t>№</w:t>
            </w:r>
          </w:p>
          <w:p w:rsidR="000024B8" w:rsidRPr="00B679F8" w:rsidRDefault="00B679F8">
            <w:pPr>
              <w:pStyle w:val="a3"/>
            </w:pPr>
            <w:r w:rsidRPr="00B679F8">
              <w:t>п/п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Наименование предприятия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Количество выбросов тыс. тонн</w:t>
            </w:r>
          </w:p>
        </w:tc>
      </w:tr>
      <w:tr w:rsidR="000024B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ЗАО «КТК-Р» НПС «Комсомольская»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6,63</w:t>
            </w:r>
          </w:p>
        </w:tc>
      </w:tr>
      <w:tr w:rsidR="000024B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РГУП « Калмдор» (АБЗ)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4,89</w:t>
            </w:r>
          </w:p>
        </w:tc>
      </w:tr>
      <w:tr w:rsidR="000024B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2,27</w:t>
            </w:r>
          </w:p>
        </w:tc>
      </w:tr>
      <w:tr w:rsidR="000024B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ООО «ЛУКОИЛ-Волгограднефтегаз» ЦДНГ «Астрахань»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2,24</w:t>
            </w:r>
          </w:p>
        </w:tc>
      </w:tr>
      <w:tr w:rsidR="000024B8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Камыш - Бурунское ЛПУМГ ООО «Г азпром трансгаз Ставрополь»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2,02</w:t>
            </w:r>
          </w:p>
        </w:tc>
      </w:tr>
      <w:tr w:rsidR="000024B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ЗАО Нефтяная компания «Калмпетрол»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1,44</w:t>
            </w:r>
          </w:p>
        </w:tc>
      </w:tr>
      <w:tr w:rsidR="000024B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ОАО «Калмгаз»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1,38</w:t>
            </w:r>
          </w:p>
        </w:tc>
      </w:tr>
      <w:tr w:rsidR="000024B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Филиал ОАО «Нижневолжскнефтегаз» «Калмнедра»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1,00</w:t>
            </w:r>
          </w:p>
        </w:tc>
      </w:tr>
      <w:tr w:rsidR="000024B8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9.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Астраханское ЛПУМГ ООО «Г азпром трансгаз Ставрополь»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0,25</w:t>
            </w:r>
          </w:p>
        </w:tc>
      </w:tr>
      <w:tr w:rsidR="000024B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10.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ОАО «Элистинский кирпичный завод»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0,11</w:t>
            </w:r>
          </w:p>
        </w:tc>
      </w:tr>
      <w:tr w:rsidR="000024B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11.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22,23</w:t>
            </w:r>
          </w:p>
        </w:tc>
      </w:tr>
    </w:tbl>
    <w:p w:rsidR="000024B8" w:rsidRPr="00B679F8" w:rsidRDefault="00B679F8">
      <w:pPr>
        <w:pStyle w:val="a3"/>
      </w:pPr>
      <w:r>
        <w:t>Таблица 2</w:t>
      </w:r>
    </w:p>
    <w:p w:rsidR="000024B8" w:rsidRDefault="00B679F8">
      <w:pPr>
        <w:pStyle w:val="a3"/>
      </w:pPr>
      <w:r>
        <w:t>Выбросы загрязняющих атмосферу веществ, отходящих от стационарных источников, тыс. тонн</w:t>
      </w:r>
    </w:p>
    <w:p w:rsidR="000024B8" w:rsidRDefault="00B679F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Загрязняющие вещества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2005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2007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2009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3,068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2,789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2,838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8,060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5,549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4,271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2,210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В том числе, твердые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0,288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0,246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0,090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0,155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0,189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0,138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0,063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Г азообразные и жидкие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2,780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2,542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2,748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7,905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5,360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4,134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2,147</w:t>
            </w:r>
          </w:p>
        </w:tc>
      </w:tr>
      <w:tr w:rsidR="000024B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024B8" w:rsidRPr="00B679F8" w:rsidRDefault="00B679F8">
            <w:pPr>
              <w:pStyle w:val="a3"/>
            </w:pPr>
            <w:r w:rsidRPr="00B679F8">
              <w:t>из них:</w:t>
            </w:r>
          </w:p>
          <w:p w:rsidR="000024B8" w:rsidRPr="00B679F8" w:rsidRDefault="00B679F8">
            <w:pPr>
              <w:pStyle w:val="a3"/>
            </w:pPr>
            <w:r w:rsidRPr="00B679F8">
              <w:t>- диоксид серы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0,297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0,187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0,196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0,134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0,090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0,073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0,048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- оксид углерода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1,571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1,501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1,374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1,863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2,051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1,283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1,029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- оксиды азота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0,231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0,203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0,206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0,869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0,690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0,404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0,190</w:t>
            </w:r>
          </w:p>
        </w:tc>
      </w:tr>
      <w:tr w:rsidR="000024B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- углеводороды (без ЛОС)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0,572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0,579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0,914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4,900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2,423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2,199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0,598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ЛОС, тонн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32,363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51,146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52,339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120,564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100,271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166,133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278,0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Прочие газы и аэрозоли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0,076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0,022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0,005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0,018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0,007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0,008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0,004</w:t>
            </w:r>
          </w:p>
        </w:tc>
      </w:tr>
    </w:tbl>
    <w:p w:rsidR="000024B8" w:rsidRPr="00B679F8" w:rsidRDefault="00B679F8">
      <w:pPr>
        <w:pStyle w:val="a3"/>
      </w:pPr>
      <w:r>
        <w:t>В числе приоритетных загрязнителей атмосферного воздуха на территории Калмыкии, определяющих напряженность экологической и санитарно-эпидемиологической ситуации, остаются взвешенные вещества (сажа, пыль, аэрозоли), оксиды азота и углерода, диоксид серы, формальдегид, бензапирен, пестициды. Наиболее актуальна эта проблема в г. Элисте, где сосредоточена большая часть промышленных предприятий и автотранспортных средств.</w:t>
      </w:r>
    </w:p>
    <w:p w:rsidR="000024B8" w:rsidRDefault="00B679F8">
      <w:pPr>
        <w:pStyle w:val="a3"/>
      </w:pPr>
      <w:r>
        <w:t>Фактическая масса выбросов загрязняющих веществ в атмосферный воздух по результатам обобщения статистической отчетности составила в 2009 году - 43,416 тыс. тонн, в том числе от стационарных источников - 2,210 тыс. тонн (6,1 %), автотранспорта - 32,915 тыс. тонн (93,7%), железнодорожного транспорта (тепловозов на магистралях) - 8,291 тонн (0,02%).</w:t>
      </w:r>
    </w:p>
    <w:p w:rsidR="000024B8" w:rsidRDefault="00B679F8">
      <w:pPr>
        <w:pStyle w:val="a3"/>
      </w:pPr>
      <w:r>
        <w:t>Значительная доля выбросов от стационарных источников приходится на продукты сжигания газа на факелах в результате очень низкой степени утилизации нефтяного газа (таблица 2).</w:t>
      </w:r>
    </w:p>
    <w:p w:rsidR="000024B8" w:rsidRDefault="00B679F8">
      <w:pPr>
        <w:pStyle w:val="a3"/>
      </w:pPr>
      <w:r>
        <w:t>С 2003 по 2009 год наблюдается сокращение годового объема выбросов в атмосферу. Снижение выбросов загрязняющих веществ в атмосферу произошло по причине значительного спада</w:t>
      </w:r>
    </w:p>
    <w:p w:rsidR="000024B8" w:rsidRDefault="00B679F8">
      <w:pPr>
        <w:pStyle w:val="a3"/>
      </w:pPr>
      <w:r>
        <w:t>Динамика очистки отходящих газов от стационарных источников выбросов в атмосферу, тыс. тонн</w:t>
      </w:r>
    </w:p>
    <w:p w:rsidR="000024B8" w:rsidRDefault="00B679F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Загрязняющие вещества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2007 г.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2008 г.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2009 г.</w:t>
            </w:r>
          </w:p>
        </w:tc>
      </w:tr>
      <w:tr w:rsidR="000024B8">
        <w:trPr>
          <w:trHeight w:val="81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Количество загрязняющих веществ, отходящих от всех стационарных источников выбросов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5,549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4,271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2,210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- из них уловлено и обезврежено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0,273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0,188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0,166</w:t>
            </w:r>
          </w:p>
        </w:tc>
      </w:tr>
      <w:tr w:rsidR="000024B8">
        <w:trPr>
          <w:trHeight w:val="585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Всего выброшено в атмосферу загрязняющих веществ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2,276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4,083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2,044</w:t>
            </w:r>
          </w:p>
        </w:tc>
      </w:tr>
    </w:tbl>
    <w:p w:rsidR="000024B8" w:rsidRPr="00B679F8" w:rsidRDefault="00B679F8">
      <w:pPr>
        <w:pStyle w:val="a3"/>
      </w:pPr>
      <w:r>
        <w:t> </w:t>
      </w:r>
    </w:p>
    <w:p w:rsidR="000024B8" w:rsidRDefault="00B679F8">
      <w:pPr>
        <w:pStyle w:val="a3"/>
      </w:pPr>
      <w:r>
        <w:t>Таблица 4</w:t>
      </w:r>
    </w:p>
    <w:p w:rsidR="000024B8" w:rsidRDefault="00B679F8">
      <w:pPr>
        <w:pStyle w:val="a3"/>
      </w:pPr>
      <w:r>
        <w:t>Выбросы загрязняющих веществ в атмосферу от автотранспорта по Республике Калмыкия</w:t>
      </w:r>
    </w:p>
    <w:p w:rsidR="000024B8" w:rsidRDefault="00B679F8">
      <w:pPr>
        <w:pStyle w:val="a3"/>
      </w:pPr>
      <w:r>
        <w:t>и г. Элисте, тыс. тонн в год</w:t>
      </w:r>
    </w:p>
    <w:p w:rsidR="000024B8" w:rsidRDefault="00B679F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0024B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Сажа</w:t>
            </w:r>
          </w:p>
        </w:tc>
        <w:tc>
          <w:tcPr>
            <w:tcW w:w="0" w:type="auto"/>
            <w:vAlign w:val="center"/>
            <w:hideMark/>
          </w:tcPr>
          <w:p w:rsidR="000024B8" w:rsidRPr="00B679F8" w:rsidRDefault="00B679F8">
            <w:pPr>
              <w:pStyle w:val="a3"/>
            </w:pPr>
            <w:r w:rsidRPr="00B679F8">
              <w:t>Оксид</w:t>
            </w:r>
          </w:p>
          <w:p w:rsidR="000024B8" w:rsidRPr="00B679F8" w:rsidRDefault="00B679F8">
            <w:pPr>
              <w:pStyle w:val="a3"/>
            </w:pPr>
            <w:r w:rsidRPr="00B679F8">
              <w:t>углерода</w:t>
            </w:r>
          </w:p>
        </w:tc>
        <w:tc>
          <w:tcPr>
            <w:tcW w:w="0" w:type="auto"/>
            <w:vAlign w:val="center"/>
            <w:hideMark/>
          </w:tcPr>
          <w:p w:rsidR="000024B8" w:rsidRPr="00B679F8" w:rsidRDefault="00B679F8">
            <w:pPr>
              <w:pStyle w:val="a3"/>
            </w:pPr>
            <w:r w:rsidRPr="00B679F8">
              <w:t>Окислы</w:t>
            </w:r>
          </w:p>
          <w:p w:rsidR="000024B8" w:rsidRPr="00B679F8" w:rsidRDefault="00B679F8">
            <w:pPr>
              <w:pStyle w:val="a3"/>
            </w:pPr>
            <w:r w:rsidRPr="00B679F8">
              <w:t>азота</w:t>
            </w:r>
          </w:p>
        </w:tc>
        <w:tc>
          <w:tcPr>
            <w:tcW w:w="0" w:type="auto"/>
            <w:vAlign w:val="center"/>
            <w:hideMark/>
          </w:tcPr>
          <w:p w:rsidR="000024B8" w:rsidRPr="00B679F8" w:rsidRDefault="00B679F8">
            <w:pPr>
              <w:pStyle w:val="a3"/>
            </w:pPr>
            <w:r w:rsidRPr="00B679F8">
              <w:t>Углеводо</w:t>
            </w:r>
          </w:p>
          <w:p w:rsidR="000024B8" w:rsidRPr="00B679F8" w:rsidRDefault="00B679F8">
            <w:pPr>
              <w:pStyle w:val="a3"/>
            </w:pPr>
            <w:r w:rsidRPr="00B679F8">
              <w:t>роды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Сернистый газ</w:t>
            </w:r>
          </w:p>
        </w:tc>
      </w:tr>
      <w:tr w:rsidR="000024B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Вся Калмыкия, 2008 г.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31,947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0,175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20,153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7,654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3,448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0,517</w:t>
            </w:r>
          </w:p>
        </w:tc>
      </w:tr>
      <w:tr w:rsidR="000024B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Вся Калмыкия, 2009 г.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32,915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0,178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20,796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7,849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3,566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0,527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г. Элиста, 2008 г.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10,042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0,073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6,600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2,864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1,206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0,203</w:t>
            </w:r>
          </w:p>
        </w:tc>
      </w:tr>
      <w:tr w:rsidR="000024B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024B8" w:rsidRDefault="00B679F8">
            <w:r>
              <w:t>г. Элиста, 2009 г.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11,327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0,073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6,902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2,911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1,237</w:t>
            </w:r>
          </w:p>
        </w:tc>
        <w:tc>
          <w:tcPr>
            <w:tcW w:w="0" w:type="auto"/>
            <w:vAlign w:val="center"/>
            <w:hideMark/>
          </w:tcPr>
          <w:p w:rsidR="000024B8" w:rsidRDefault="00B679F8">
            <w:r>
              <w:t>0,204</w:t>
            </w:r>
          </w:p>
        </w:tc>
      </w:tr>
    </w:tbl>
    <w:p w:rsidR="000024B8" w:rsidRPr="00B679F8" w:rsidRDefault="00B679F8">
      <w:pPr>
        <w:pStyle w:val="a3"/>
      </w:pPr>
      <w:r>
        <w:t> </w:t>
      </w:r>
    </w:p>
    <w:p w:rsidR="000024B8" w:rsidRDefault="00B679F8">
      <w:pPr>
        <w:pStyle w:val="a3"/>
      </w:pPr>
      <w:r>
        <w:t>производства практически во всех отраслях экономики.</w:t>
      </w:r>
    </w:p>
    <w:p w:rsidR="000024B8" w:rsidRDefault="00B679F8">
      <w:pPr>
        <w:pStyle w:val="a3"/>
      </w:pPr>
      <w:r>
        <w:t>Наиболее распространенными из газообразных и аэрозольных загрязняющих веществ являются оксид углерода, углеводороды и оксид азота.</w:t>
      </w:r>
    </w:p>
    <w:p w:rsidR="000024B8" w:rsidRDefault="00B679F8">
      <w:pPr>
        <w:pStyle w:val="a3"/>
      </w:pPr>
      <w:r>
        <w:t>На каждого жителя республики в 2009 году пришлось в среднем 8,0 кг вредных выбросов в атмосферу, на каждого жителя г. Элиста - 10,8 кг. Повышенный объем выбросов вредных веществ в расчете на 1 жителя в Элисте объясняется интенсивным строительством административных и жилых зданий и развеиванием строительных пылей.</w:t>
      </w:r>
    </w:p>
    <w:p w:rsidR="000024B8" w:rsidRDefault="00B679F8">
      <w:pPr>
        <w:pStyle w:val="a3"/>
      </w:pPr>
      <w:r>
        <w:t>Данные об утилизации загрязняющих веществ приведены в таблице 3.</w:t>
      </w:r>
    </w:p>
    <w:p w:rsidR="000024B8" w:rsidRDefault="00B679F8">
      <w:pPr>
        <w:pStyle w:val="a3"/>
      </w:pPr>
      <w:r>
        <w:t>Несмотря на то, что количество выброшенных вредных (загрязняющих) веществ в атмосферу с каждым годом снижается (в связи со снижением объемов промышленности), а процент очистки отходящих газов от стационарных источников выбросов увеличивается, процент уловленных и обезвреженных веществ продолжает оставаться невысоким - от 4,4 до 7,5 %.</w:t>
      </w:r>
    </w:p>
    <w:p w:rsidR="000024B8" w:rsidRDefault="00B679F8">
      <w:pPr>
        <w:pStyle w:val="a3"/>
      </w:pPr>
      <w:r>
        <w:t>Из общего объема загрязняющих веществ, поступающих на очистные сооружения, улавливаются, в основном, твердые вещества, из числа уловленных утилизируется 100% веществ.</w:t>
      </w:r>
    </w:p>
    <w:p w:rsidR="000024B8" w:rsidRDefault="00B679F8">
      <w:pPr>
        <w:pStyle w:val="a3"/>
      </w:pPr>
      <w:r>
        <w:t>По-прежнему наибольший вклад в загрязнение атмосферного воздуха населенных мест вносят выбросы от автомобильного транспорта (таблица 4). В 2009 г. выбросы загрязняющих веществ от автотранспорта составляют до 90% от общего объема выбросов в атмосферу от передвижных и стационарных источников загрязнения.</w:t>
      </w:r>
    </w:p>
    <w:p w:rsidR="000024B8" w:rsidRDefault="00B679F8">
      <w:pPr>
        <w:pStyle w:val="a3"/>
      </w:pPr>
      <w:r>
        <w:t>Актуальной остается проблема запыленности атмосферного воздуха. В связи с тем, что площадь Калмыкии относится к наиболее дефляционноопасной территориям, а среднегодовое значение показателя интенсивности дефляции составляет 38,6 тонн/га, в атмосферу поступает сотни тысяч тонн мелкодисперсной почвенной пыли с дефли- рованных сельскохозяйственных угодий. Стационарные наблюдения за загрязнением атмосферного воздуха продуктами дефляции почвы на территории Калмыкии не ведутся.</w:t>
      </w:r>
    </w:p>
    <w:p w:rsidR="000024B8" w:rsidRDefault="00B679F8">
      <w:pPr>
        <w:pStyle w:val="a3"/>
      </w:pPr>
      <w:r>
        <w:t>годы</w:t>
      </w:r>
    </w:p>
    <w:p w:rsidR="000024B8" w:rsidRDefault="00657D0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10.5pt;height:162pt">
            <v:imagedata r:id="rId4" o:title=""/>
          </v:shape>
        </w:pict>
      </w:r>
    </w:p>
    <w:p w:rsidR="000024B8" w:rsidRDefault="00B679F8">
      <w:pPr>
        <w:pStyle w:val="a3"/>
      </w:pPr>
      <w:r>
        <w:t>Рис. 1. Доля проб атмосферного воздуха, превышающих ПДК(%)</w:t>
      </w:r>
    </w:p>
    <w:p w:rsidR="000024B8" w:rsidRDefault="00B679F8">
      <w:pPr>
        <w:pStyle w:val="a3"/>
      </w:pPr>
      <w:r>
        <w:t>К основным источникам загрязнения атмосферного воздуха и других жизнеобеспечивающих сред относятся санкционированные и стихийные свалки отходов производства и потребления. По данным статистической отчетности, на территории республики накопилось до 500 тыс. тонн твердых бытовых и до 1500 тыс. тонн производственных отходов. Ежегодно на свалки вывозится до 125 тыс. тонн вновь образующихся отходов. Переработке подвергается только лом черного и цветного металла, составляющий около 20-25 % общего количества твердых бытовых отходов. Комплексный государственный экологический мониторинг окружающей среды на территории республики не проводится в связи с отсутствием финансовых средств.</w:t>
      </w:r>
    </w:p>
    <w:p w:rsidR="000024B8" w:rsidRDefault="00B679F8">
      <w:pPr>
        <w:pStyle w:val="a3"/>
      </w:pPr>
      <w:r>
        <w:t>Индикаторами уровня загрязнения атмосферы являются соединения тяжелых металлов. В пробах пыли, выпавшей на поверхность снега в районе исследований, зафиксированы в аномальных концентрациях цинк, медь, свинец, хром, серебро, стронций, барий.</w:t>
      </w:r>
    </w:p>
    <w:p w:rsidR="000024B8" w:rsidRDefault="00B679F8">
      <w:pPr>
        <w:pStyle w:val="a3"/>
      </w:pPr>
      <w:r>
        <w:t>Техногенными источниками загрязнения атмосферы республики являются прилегающие к Калмыкии предприятия топливно-энергетического, металлургического, химического и сельскохозяйственного комплексов Волгоградской, Астраханской областей и Ставропольского края. Расположенные у границ республики, они ежегодно сбрасывают около 3 млн. м3 промышленных сточных вод, содержащих более 200 наименований соединений различных классов опасности. Идет аккумуляция веществ через грунтовые воды по всей территории республики.</w:t>
      </w:r>
    </w:p>
    <w:p w:rsidR="000024B8" w:rsidRDefault="00B679F8">
      <w:pPr>
        <w:pStyle w:val="a3"/>
      </w:pPr>
      <w:r>
        <w:t>Контрастная атмохимическая аномалия хрома выявлена в северной части республики, граничащей с Волгоградской областью. Повышенное содержание хрома в атмосферной пыли здесь можно объяснить атмосферным переносом выбросов промышленных предприятий городов Волжского и Волгограда. По-видимому, переносом загрязняющих веществ с соседних территорий обусловлено появление на территории Калмыкии атмохими- ческих аномалий свинца и цинка.</w:t>
      </w:r>
    </w:p>
    <w:p w:rsidR="000024B8" w:rsidRDefault="00B679F8">
      <w:pPr>
        <w:pStyle w:val="a3"/>
      </w:pPr>
      <w:r>
        <w:t>Усилением дефляционных процессов в теплый период объясняется уменьшение доли техногенной составляющей, поэтому концентрация большей части тяжелых металлов в атмосферной пыли летом несколько ниже, чем зимой. Напротив, концентрация стронция и бария - спутников строительной индустрии - в этот период значительно возрастает.</w:t>
      </w:r>
    </w:p>
    <w:p w:rsidR="000024B8" w:rsidRDefault="00B679F8">
      <w:pPr>
        <w:pStyle w:val="a3"/>
      </w:pPr>
      <w:r>
        <w:t>Концентрация химических соединений в снеговой воде или в воде из атмохимических ловушек является косвенным показателем загрязнения атмосферы окислами серы, углерода, азота, аммиаком и другими летучими органическими и неорганическими веществами. На урбанизированных территориях отмечается повышенное, в сравнении с фоном, содержание гидрокарбонатов и сульфатов в жидкой фазе снеговых проб и в воде из летних атмохимических ловушек, что может свидетельствовать о локальном загрязнении атмосферы оксидами серы и углерода.</w:t>
      </w:r>
    </w:p>
    <w:p w:rsidR="000024B8" w:rsidRDefault="00B679F8">
      <w:pPr>
        <w:pStyle w:val="a3"/>
      </w:pPr>
      <w:r>
        <w:t>Анализируя химический состав воды из летних атмохимических ловушек, следует отметить кислую реакцию воды. В летний период, когда в воздух поднимаются значительные массы дефляционной пыли, для степной и полупустынной зоны более характерна слабощелочная реакция атмосферных аэрозолей. Соединения тяжелых металлов в растворимой форме обнаружены в незначительных количествах, не представляющих угрозы для окружающих ландшафтов.</w:t>
      </w:r>
    </w:p>
    <w:p w:rsidR="000024B8" w:rsidRDefault="00B679F8">
      <w:pPr>
        <w:pStyle w:val="a3"/>
      </w:pPr>
      <w:r>
        <w:t>Концентрация хлоридов в воде из атмохими- ческих ловушек свидетельствует о переносе загрязняющих веществ с территории Волгоградской области. А картина распределения сульфатов в атмосферных выпадениях прямо указывает на поступление соединений серы с территории Астраханской области (в виде сероводорода или оксидов серы, вместе с выбросами Астраханского газоконденсатного комбината).</w:t>
      </w:r>
    </w:p>
    <w:p w:rsidR="000024B8" w:rsidRDefault="00657D09">
      <w:pPr>
        <w:pStyle w:val="a3"/>
      </w:pPr>
      <w:r>
        <w:rPr>
          <w:noProof/>
        </w:rPr>
        <w:pict>
          <v:shape id="_x0000_i1032" type="#_x0000_t75" style="width:394.5pt;height:246pt">
            <v:imagedata r:id="rId5" o:title=""/>
          </v:shape>
        </w:pict>
      </w:r>
    </w:p>
    <w:p w:rsidR="000024B8" w:rsidRDefault="00B679F8">
      <w:pPr>
        <w:pStyle w:val="a3"/>
      </w:pPr>
      <w:r>
        <w:t>Рис. 2. Заболеваемость населения в районах Республики Калмыкия 1 - всего по Республике Калмыкия, 2 - г. Элиста, 3 - Городовиковский, 4 - Ики-Бурульский, 5 - Кетченеровский, 6 - Лаганский, 7 - Малобербетовский, 8 - Октябрьский, 9 - Приютненский, 10 - Сарпинский, 11 - Целинный, 12 - Черноземельский, 13 - Юстинский, 14 - Яшалтинский, 15 - Яшкульский</w:t>
      </w:r>
    </w:p>
    <w:p w:rsidR="000024B8" w:rsidRDefault="00B679F8">
      <w:pPr>
        <w:pStyle w:val="a3"/>
      </w:pPr>
      <w:r>
        <w:t>Лабораторный контроль за загрязнением атмосферного воздуха в 2006-2010 годах проводился Республиканским аккредитованным испытательным лабораторным центром ФГУЗ «Центр гигиены и эпидемиологии Республики Калмыкия». В 2010 году из исследованных 374 проб атмосферного воздуха 2,6 % не отвечало гигиеническим нормативам по критериям безопасности для здоровья населения (рис. 1). Из данных рис. 1 следует, что процент проб атмосферного воздуха, не отвечающих гигиеническим нормативам по критериям безопасности для здоровья населения, в 2010 году увеличился в 3,7 раз по сравнению с 2006 годом.</w:t>
      </w:r>
    </w:p>
    <w:p w:rsidR="000024B8" w:rsidRDefault="00B679F8">
      <w:pPr>
        <w:pStyle w:val="a3"/>
      </w:pPr>
      <w:r>
        <w:t>Оценка особенностей формирования санитарно-эпидемиологической ситуации в период с 20062010 года показала, что до 20% вклада в показатель комплексной антропотехногенной нагрузки вносит химическое загрязнение атмосферного воздуха.</w:t>
      </w:r>
    </w:p>
    <w:p w:rsidR="000024B8" w:rsidRDefault="00B679F8">
      <w:pPr>
        <w:pStyle w:val="a3"/>
      </w:pPr>
      <w:r>
        <w:t>Наибольший процент (43 %) от общего количества приоритетных загрязнителей атмосферного воздуха республики вносит оксид азота. На втором месте диоксид серы (13%), на третьем формальдегиды (8%).</w:t>
      </w:r>
    </w:p>
    <w:p w:rsidR="000024B8" w:rsidRDefault="00B679F8">
      <w:pPr>
        <w:pStyle w:val="a3"/>
      </w:pPr>
      <w:r>
        <w:t>Загрязнение атмосферного воздуха наряду с другими факторами среды обитания оказывает неблагоприятное воздействие на состояние здоровья населения.</w:t>
      </w:r>
    </w:p>
    <w:p w:rsidR="000024B8" w:rsidRDefault="00B679F8">
      <w:pPr>
        <w:pStyle w:val="a3"/>
      </w:pPr>
      <w:r>
        <w:t>Воздействие загрязненной окружающей среды на здоровье населения является предметом изучения различных дисциплин, и основная сложность проблемы оценки неблагоприятных факторов окружающей среды на здоровье населения заключается в надежности диагностики тех или иных его возможных изменений [2]. Для диагностики же экологически зависимых заболеваний необходимо учитывать особенности длительного воздействия химических веществ в низких концентрациях, вызывающих неспецифические, часто обратимые изменения в состоянии организма задолго до того, как произойдут патологические нарушения [3].</w:t>
      </w:r>
    </w:p>
    <w:p w:rsidR="000024B8" w:rsidRDefault="00B679F8">
      <w:pPr>
        <w:pStyle w:val="a3"/>
      </w:pPr>
      <w:r>
        <w:t>Поэтому в изучении воздействия неблагоприятных факторов окружающей среды на состояние здоровья населения в настоящей работе учитывались заболевания, зарегистрированные у больных с диагнозом, установленным впервые [4].</w:t>
      </w:r>
    </w:p>
    <w:p w:rsidR="000024B8" w:rsidRDefault="00B679F8">
      <w:pPr>
        <w:pStyle w:val="a3"/>
      </w:pPr>
      <w:r>
        <w:t>На рис. 2 представлена заболеваемость населения Калмыкии в расчете на 100 тыс. населения за отдельные годы. Наибольшее количество заболеваний наблюдается в г. Элисте. Заметно выделяются Приютненский (80321,7), Яшкульский (73053,7), Ики-Бурульский (67270,9), Лаганский (66746,9) и Малодербетовский (62727) районы республики, граничащие с сопредельными территориями (Ставропольский край, Волгоградская область, Астраханская область).</w:t>
      </w:r>
    </w:p>
    <w:p w:rsidR="000024B8" w:rsidRDefault="00657D09">
      <w:pPr>
        <w:pStyle w:val="a3"/>
      </w:pPr>
      <w:r>
        <w:rPr>
          <w:noProof/>
        </w:rPr>
        <w:pict>
          <v:shape id="_x0000_i1035" type="#_x0000_t75" style="width:422.25pt;height:245.25pt">
            <v:imagedata r:id="rId6" o:title=""/>
          </v:shape>
        </w:pict>
      </w:r>
    </w:p>
    <w:p w:rsidR="000024B8" w:rsidRDefault="00B679F8">
      <w:pPr>
        <w:pStyle w:val="a3"/>
      </w:pPr>
      <w:r>
        <w:t>Рис. 3. Структура основных видов заболеваемости за 2010 г. Условные обозначения те же, что и для рис. 2.</w:t>
      </w:r>
    </w:p>
    <w:p w:rsidR="000024B8" w:rsidRDefault="00B679F8">
      <w:pPr>
        <w:pStyle w:val="a3"/>
      </w:pPr>
      <w:r>
        <w:t>В структуре заболеваемости населения наибольшую долю составляют болезни органов дыхания (42,7 % в среднем), что свидетельствует об их обусловленности экстремальными природными условиями и загрязнением атмосферного воздуха, а также, возможно, и социально-экономическими и медико-санитарными условиями.</w:t>
      </w:r>
    </w:p>
    <w:p w:rsidR="000024B8" w:rsidRDefault="00B679F8">
      <w:pPr>
        <w:pStyle w:val="a3"/>
      </w:pPr>
      <w:r>
        <w:t>Из приведенных данных (рис. 3) следует, что доля заболеваний органов дыхания снижается с возрастом, что, возможно, связано с тем, что у детей недостаточно развита иммунная система, и сопротивляемость респираторным инфекциям снижена. Превышают общереспубликанский показатель заболеваемость детей в Приютненском, Юс- тинском, в Черноземельском и Яшкульском районах. Указанные районы республики граничат с сопредельными территориями (Ставропольский край, Волгоградская область, Астраханская область). Сравнение этих показателей с подобными по России показывает, что среди всех слоев населения существенную долю в Калмыкии занимают болезни органов дыхания (25-50%), тогда как в среднем по России они составляют 18,6%.</w:t>
      </w:r>
    </w:p>
    <w:p w:rsidR="000024B8" w:rsidRDefault="00B679F8">
      <w:pPr>
        <w:pStyle w:val="a3"/>
      </w:pPr>
      <w:r>
        <w:t>Список литературы</w:t>
      </w:r>
    </w:p>
    <w:p w:rsidR="000024B8" w:rsidRDefault="00B679F8">
      <w:pPr>
        <w:pStyle w:val="a3"/>
      </w:pPr>
      <w:r>
        <w:t>Доклад о состоянии окружающей среды Респуб - лики Калмыкия в 2009 году. - Элиста : НПП Джангар, 2009. - 230 с.</w:t>
      </w:r>
    </w:p>
    <w:p w:rsidR="000024B8" w:rsidRDefault="00B679F8">
      <w:pPr>
        <w:pStyle w:val="a3"/>
      </w:pPr>
      <w:r>
        <w:t>Прохоров Б. Б. Прикладная антропоэкология / Б. Б. Прохоров. - М : Изд-во МНЭПУ, 1998. - 312 с.</w:t>
      </w:r>
    </w:p>
    <w:p w:rsidR="000024B8" w:rsidRDefault="00B679F8">
      <w:pPr>
        <w:pStyle w:val="a3"/>
      </w:pPr>
      <w:r>
        <w:t>Рахманин Ю. А. Методологические проблемы диагностики и профилактики заболеваний, связанных с воздействием факторов окружающей среды / Ю. А. Рахманин, Г И. Румянцев, С. М. Новиков // Гигиена и санитария. - 2001. - N° 5. - С. 3-7.</w:t>
      </w:r>
    </w:p>
    <w:p w:rsidR="000024B8" w:rsidRDefault="00B679F8">
      <w:pPr>
        <w:pStyle w:val="a3"/>
      </w:pPr>
      <w:r>
        <w:t>Ревич Б. А. Загрязнение окружающей среды и здоровье населения. Введение в экологическую эпидемиологию : учеб. пособие / Б. А. Ревич. - М. : Изд-во МНЭПУ, 2001. - 264 с.</w:t>
      </w:r>
      <w:bookmarkStart w:id="0" w:name="_GoBack"/>
      <w:bookmarkEnd w:id="0"/>
    </w:p>
    <w:sectPr w:rsidR="00002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9F8"/>
    <w:rsid w:val="000024B8"/>
    <w:rsid w:val="00657D09"/>
    <w:rsid w:val="00B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597C8FE-CE19-4BFA-8ED7-8E217163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2370</Words>
  <Characters>13511</Characters>
  <Application>Microsoft Office Word</Application>
  <DocSecurity>0</DocSecurity>
  <Lines>112</Lines>
  <Paragraphs>31</Paragraphs>
  <ScaleCrop>false</ScaleCrop>
  <Company>diakov.net</Company>
  <LinksUpToDate>false</LinksUpToDate>
  <CharactersWithSpaces>15850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Связь техногенного загрязнения атмосферы и здоровья населения республики Калмыкия</dc:title>
  <dc:subject/>
  <dc:creator>Irina</dc:creator>
  <cp:keywords/>
  <dc:description/>
  <cp:lastModifiedBy>Irina</cp:lastModifiedBy>
  <cp:revision>2</cp:revision>
  <dcterms:created xsi:type="dcterms:W3CDTF">2014-08-02T19:34:00Z</dcterms:created>
  <dcterms:modified xsi:type="dcterms:W3CDTF">2014-08-02T19:34:00Z</dcterms:modified>
</cp:coreProperties>
</file>