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27" w:rsidRDefault="00783427">
      <w:pPr>
        <w:ind w:left="283" w:hanging="283"/>
        <w:jc w:val="center"/>
        <w:rPr>
          <w:rFonts w:ascii="Times New Roman" w:hAnsi="Times New Roman"/>
          <w:b/>
          <w:i/>
          <w:sz w:val="24"/>
          <w:u w:val="single"/>
          <w:lang w:val="en-GB"/>
        </w:rPr>
      </w:pPr>
    </w:p>
    <w:p w:rsidR="00783427" w:rsidRDefault="00783427">
      <w:pPr>
        <w:ind w:left="283" w:hanging="283"/>
        <w:jc w:val="center"/>
        <w:rPr>
          <w:rFonts w:ascii="Times New Roman" w:hAnsi="Times New Roman"/>
          <w:b/>
          <w:i/>
          <w:sz w:val="24"/>
          <w:u w:val="single"/>
          <w:lang w:val="en-GB"/>
        </w:rPr>
      </w:pPr>
      <w:r>
        <w:rPr>
          <w:rFonts w:ascii="Times New Roman" w:hAnsi="Times New Roman"/>
          <w:b/>
          <w:i/>
          <w:sz w:val="24"/>
          <w:u w:val="single"/>
          <w:lang w:val="en-GB"/>
        </w:rPr>
        <w:t>ИНФЕКЦИЯ HELICOBACTER PYLORI (HP)</w:t>
      </w:r>
    </w:p>
    <w:p w:rsidR="00783427" w:rsidRDefault="00783427">
      <w:pPr>
        <w:ind w:left="283" w:hanging="283"/>
        <w:jc w:val="center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i/>
          <w:sz w:val="24"/>
          <w:u w:val="single"/>
          <w:lang w:val="en-GB"/>
        </w:rPr>
        <w:t xml:space="preserve">ЭПИДЕМИОЛОГИЯ, ДИАГНОСТИКА И МЕТОДЫ ЛЕЧЕНИЯ </w:t>
      </w:r>
    </w:p>
    <w:p w:rsidR="00783427" w:rsidRDefault="00783427">
      <w:pPr>
        <w:rPr>
          <w:rFonts w:ascii="Times New Roman" w:hAnsi="Times New Roman"/>
          <w:sz w:val="24"/>
          <w:lang w:val="en-GB"/>
        </w:rPr>
      </w:pPr>
    </w:p>
    <w:p w:rsidR="00783427" w:rsidRDefault="00783427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Этиологическая роль бактерий в развитии пептической язвы предпологается уже давно. В 1893 году впервые заговорили об обнаружении спирохет в желудке животных, а в 1940-х годах данные микроорганизмы были обнаружены в желудках лиц, страдающих язвенной болезнью или раком этого органа.</w:t>
      </w:r>
    </w:p>
    <w:p w:rsidR="00783427" w:rsidRDefault="00783427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Лишь в 1983 году было подтверждено наличие патогенетической связи между бактериальной инфекцией и пептической язвой.</w:t>
      </w:r>
    </w:p>
    <w:p w:rsidR="00783427" w:rsidRDefault="00783427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Исследователи Робин Уоррен и Барри Маршалл из Австралии сообщили о наличии бактерий спиралевидной формы, в дальнейшем полученных ими в культуральной среде, у больных с хроническим гастритом и пептической язвой. Первоначально полагали, что указанные бактерии принадлежат к роду</w:t>
      </w:r>
      <w:r>
        <w:rPr>
          <w:rFonts w:ascii="Times New Roman" w:hAnsi="Times New Roman"/>
          <w:i/>
          <w:sz w:val="24"/>
          <w:lang w:val="en-GB"/>
        </w:rPr>
        <w:t xml:space="preserve"> Campylobacter</w:t>
      </w:r>
      <w:r>
        <w:rPr>
          <w:rFonts w:ascii="Times New Roman" w:hAnsi="Times New Roman"/>
          <w:sz w:val="24"/>
          <w:lang w:val="en-GB"/>
        </w:rPr>
        <w:t xml:space="preserve">, однако позднее они были отнесены к отдельному, новому роду. С 1989 года во всем мире этот микроорганизм называют </w:t>
      </w:r>
      <w:r>
        <w:rPr>
          <w:rFonts w:ascii="Times New Roman" w:hAnsi="Times New Roman"/>
          <w:i/>
          <w:sz w:val="24"/>
          <w:lang w:val="en-GB"/>
        </w:rPr>
        <w:t>Helicobacter pylor (Нр)</w:t>
      </w:r>
      <w:r>
        <w:rPr>
          <w:rFonts w:ascii="Times New Roman" w:hAnsi="Times New Roman"/>
          <w:sz w:val="24"/>
          <w:lang w:val="en-GB"/>
        </w:rPr>
        <w:t>.</w:t>
      </w:r>
    </w:p>
    <w:p w:rsidR="00783427" w:rsidRDefault="00783427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БИОЛОГИЯ МИКРООРГАНИЗМА</w:t>
      </w:r>
    </w:p>
    <w:p w:rsidR="00783427" w:rsidRDefault="00783427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Нр</w:t>
      </w:r>
      <w:r>
        <w:rPr>
          <w:rFonts w:ascii="Times New Roman" w:hAnsi="Times New Roman"/>
          <w:sz w:val="24"/>
          <w:lang w:val="en-GB"/>
        </w:rPr>
        <w:t xml:space="preserve"> - грамотрицательная микроаэрофильная бактерия изогнутой или спиралевидной формы с множеством жгутиков. Она обнаруживается в глубине желудочных ямок и на поверхности эпителиальных клеток, в основном под защитным слоем слизи, выстилающим слизистую оболочку желудка. Несмотря на столь необычное окружение, конкуренции </w:t>
      </w:r>
      <w:r>
        <w:rPr>
          <w:rFonts w:ascii="Times New Roman" w:hAnsi="Times New Roman"/>
          <w:i/>
          <w:sz w:val="24"/>
          <w:lang w:val="en-GB"/>
        </w:rPr>
        <w:t xml:space="preserve">Hp </w:t>
      </w:r>
      <w:r>
        <w:rPr>
          <w:rFonts w:ascii="Times New Roman" w:hAnsi="Times New Roman"/>
          <w:sz w:val="24"/>
          <w:lang w:val="en-GB"/>
        </w:rPr>
        <w:t>со стороны других микроорганизмов нет.</w:t>
      </w:r>
    </w:p>
    <w:p w:rsidR="00783427" w:rsidRDefault="00783427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рН среды обитания Нр примерно равно 7, концентрация кислорода низкая, а содержание питательных веществ вполне достаточно для жизнедеятельности микроба.</w:t>
      </w:r>
    </w:p>
    <w:p w:rsidR="00783427" w:rsidRDefault="00783427">
      <w:pPr>
        <w:rPr>
          <w:rFonts w:ascii="Times New Roman" w:hAnsi="Times New Roman"/>
          <w:sz w:val="24"/>
          <w:lang w:val="en-GB"/>
        </w:rPr>
      </w:pPr>
    </w:p>
    <w:p w:rsidR="00783427" w:rsidRDefault="00783427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ВИРУЛЕНТНОСТЬ</w:t>
      </w:r>
    </w:p>
    <w:p w:rsidR="00783427" w:rsidRDefault="00783427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Сегодня известно несколько факторов вирулентности, позволяющих Нр заселять, а затем персистировать в организме хозяина:</w:t>
      </w:r>
    </w:p>
    <w:p w:rsidR="00783427" w:rsidRDefault="00783427" w:rsidP="00783427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Спиралевидная форма и наличие жгутиков</w:t>
      </w:r>
    </w:p>
    <w:p w:rsidR="00783427" w:rsidRDefault="00783427" w:rsidP="00783427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Наличие ферментов адаптации</w:t>
      </w:r>
    </w:p>
    <w:p w:rsidR="00783427" w:rsidRDefault="00783427" w:rsidP="00783427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Адгезивность</w:t>
      </w:r>
    </w:p>
    <w:p w:rsidR="00783427" w:rsidRDefault="00783427" w:rsidP="00783427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Подавление иммунной системы.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Спиралевидная форма и наличие жгутиков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Спиралевидная форма Нр хорошо приспособлена к передвижению в вязком слое желудочной слизи, что позволяет микроорганизму полностью заселять слизистую оболочку. Кроме того, наличие покрытых оболочкой жгутиков позволяет быстро передвигаться как в желудочном соке, так и в слизи.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Ферменты адаптации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Нр вырабатывает ферменты - уреазу и каталазу. Уреаза, содержащаяся в желудочном соке, катализирует мочевину в диоксид углерода (СО</w:t>
      </w:r>
      <w:r>
        <w:rPr>
          <w:rFonts w:ascii="Times New Roman" w:hAnsi="Times New Roman"/>
          <w:sz w:val="16"/>
          <w:lang w:val="en-GB"/>
        </w:rPr>
        <w:t>2</w:t>
      </w:r>
      <w:r>
        <w:rPr>
          <w:rFonts w:ascii="Times New Roman" w:hAnsi="Times New Roman"/>
          <w:sz w:val="24"/>
          <w:lang w:val="en-GB"/>
        </w:rPr>
        <w:t>) и ион аммония (NH4+), что еще больше нейтрализует рН непосредственного окружения микроба и защищает Нр от бактерицидного действия соляной кислоты желудка. Таким образом, микроорганизм, сохранившись в желудочном соке, проникает в защитный слой слизи на поверхности эпителия желудка.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Выделение каталазы, а также, возможно, и супероксиддисмутосмутазы, позволяет Нр подавлять иммунный ответ организма хозяина. Эти ферменты катализируют реакцию превращения бактерицидных соединений кислорода, высвобождаемых активированными в результате инфекции нейтрофилами, в такие безвредные вещества, как кислород и вода.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Адгезивность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Способность Нр прикрепляться к олигосахаридным компонентам специфических фосфолипидов и гликопротеинов на мембранах эпителиальных клеток желудка обусловливает его избирательное заселение этих слизесекретирующих клеток. В некоторых случаях слипание ведет к образованию характерной структуры, называющейся "пьедесталом". В тех местах, где мембраны бактериальных клеток примыкают друг к другу, наблюдается разрушение микроворсин и разрыв компонентов цитоскелета. Другими возможными рецепторами связывания Нр являются внеклеточные компоненты матрикса, например, ламинин, фибронектин и различные виды коллагена.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Предполагают, что лишь очень небольшая часть микроорганизмов (менее 10%) имеющихся в желудке, находится в связанном состоянии в каждый конкретный момент времени. Относительно необходимости адгезии Нр не существует единой точки зрения, и уж если адгезия не является обязательным условием колонизации слизистой оболочки желудка, то ее, по-видимому, можно рассматривать как чрезвычайно важный этап развития заболевания.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Подавление иммунной системы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Нр стимулирует иммунную систему организма хозяина к выработке системных антител. Однако, как показали результаты исследований, микроорганизмы способны подавлять клеточные реакции иммунитета.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Защита организма от инфекции осуществляется фагоцитами, которые способны захватывать и переваривать чужеродные вещества, в том числе бактерии. В обычных условиях фагоциты не могут пройти сквозь слизистую оболочку желудка, но если это тем не менее происходит, гемаглютинины, находящиеся на поверхности клеток Нр, могут затормозить процесс адгезии или фагоцитоза полиморфно-ядерными лейкоцитами. Кроме того, аммиак, вырабатываемый Нр, способен повредить мембраны фагоцитов. Как уже отмечалось, активность каталазы Нр позволяет ему избежать деструктивного воздействия со стороны нейтрофилов.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Липополисахариды (ЛПС) выступают в роли гидрофильного барьера, связанного с поверхностью бактериальных клеток. ЛПС Нр сформировались в процессе эволюции для защиты от гиперактивности иммунного ответа, что позволяет  микроорганизму выжить в желудке. Взятые от больных язвой ЛПС Нр способны стимулировать секрецию пепсиногена, ведущую к избытку пепсина, который является фактором риска в развитии язвенной болезни.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Патогенность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Существует несколько механизмов, с помощью которых Нр вызывает развитие заболевания: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Токсины и токсические ферменты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Стимуляция воспаления</w:t>
      </w:r>
    </w:p>
    <w:p w:rsidR="00783427" w:rsidRDefault="00783427" w:rsidP="00AD37DC">
      <w:pPr>
        <w:numPr>
          <w:ilvl w:val="12"/>
          <w:numId w:val="0"/>
        </w:numPr>
        <w:ind w:left="566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Изменение физиологии желудка</w:t>
      </w:r>
    </w:p>
    <w:p w:rsidR="00783427" w:rsidRDefault="00783427" w:rsidP="00AD37DC">
      <w:pPr>
        <w:numPr>
          <w:ilvl w:val="12"/>
          <w:numId w:val="0"/>
        </w:numPr>
        <w:ind w:left="566" w:hanging="283"/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ind w:left="566" w:hanging="283"/>
        <w:rPr>
          <w:rFonts w:ascii="Times New Roman" w:hAnsi="Times New Roman"/>
          <w:b/>
          <w:i/>
          <w:sz w:val="24"/>
          <w:u w:val="single"/>
          <w:lang w:val="en-GB"/>
        </w:rPr>
      </w:pPr>
      <w:r>
        <w:rPr>
          <w:rFonts w:ascii="Times New Roman" w:hAnsi="Times New Roman"/>
          <w:b/>
          <w:i/>
          <w:sz w:val="24"/>
          <w:u w:val="single"/>
          <w:lang w:val="en-GB"/>
        </w:rPr>
        <w:t>Токсины и токсические ферменты</w:t>
      </w:r>
    </w:p>
    <w:p w:rsidR="00783427" w:rsidRDefault="00783427" w:rsidP="00AD37DC">
      <w:pPr>
        <w:numPr>
          <w:ilvl w:val="12"/>
          <w:numId w:val="0"/>
        </w:numPr>
        <w:ind w:left="566" w:hanging="283"/>
        <w:rPr>
          <w:rFonts w:ascii="Times New Roman" w:hAnsi="Times New Roman"/>
          <w:i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ind w:left="566" w:hanging="283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Цитотоксины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Около 65% штаммов Нр вырабатывает вакуолизирующий цитотоксин (Вак А), который способствует образованию вакуолей в эпительных клетках, что ведет к их смерти. Почти все больные с дуоденальными язвами инфицированы Вак А-образующим штаммом Нр. Цитотоксическая активность выше у тех микроорганизмов, которые были получены от больных с дуоденальными язвами, по сравнению с теми, что были взяты от лиц, не страдающих язвенной болезнью. Вак А-образующие штаммы Нр также вырабатывают цитотоксин-ассоциированный белок (ЦагА). Антитела к ЦагА были обнаружены в сыворотке почти всех больных с карциномой и язвенной болезнью желудка.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Уреаза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Кроме фактора вирулентности, активность уреазы может быть связана с токсическими эффектами вырабатываемого аммиака. В высоких концентрациях аммиак вызывает вакуолизацию эпителиальных клеток, аналогичную той, что наблюдается при воздействии вакуолизирующего токсина Нр.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Фосфолипазы А2 и С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Мембраны клеток желудочного эпителия состоят из двух фосфолипидных слоев. В результате действия фосфолипаз А2 и С, вырабатываемых Нр, в них наблюдаются изменения </w:t>
      </w:r>
      <w:r>
        <w:rPr>
          <w:rFonts w:ascii="Times New Roman" w:hAnsi="Times New Roman"/>
          <w:i/>
          <w:sz w:val="24"/>
          <w:lang w:val="en-GB"/>
        </w:rPr>
        <w:t>in vitro</w:t>
      </w:r>
      <w:r>
        <w:rPr>
          <w:rFonts w:ascii="Times New Roman" w:hAnsi="Times New Roman"/>
          <w:sz w:val="24"/>
          <w:lang w:val="en-GB"/>
        </w:rPr>
        <w:t>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Фосфолипазы из бактериолизатов переводят гидрофобную поверхность фосфолипидного биослоя во "влажное" гидрофильное состояние. Таким образом, в результате действия указанных бактериальных ферментов целостность мембран эпителиальных клеток и их резистентность к повреждениям, например, к соляной кислоте желудка, нарушается.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Фосфолипазы также способны нарушать защитную функцию желудочной слизи. Гидрофобность и вязкость слизи в равной степени зависят от содержания в ней фосфолипидов. В присутствиии Нр слизь становится менее гидрофобной, а ее вязкость при этом уменьшается. Эти изменения могут вести к тому, что в слизистую оболочку из просвета желудка поступает большое количество ионов водорода, что вызывет ее повреждение.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u w:val="single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Стимуляция воспаления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Воспалительная реакция, протекающая в организме хозяина в ответ на внедрение Нр, сама по себе способствует нарушению целостности желудочного эпителия. Хемотактические белки, высвобождаемые Нр, привлекают большое число нейтрофилов, лимфо- и моноцитов. Итак, наличие большого количества нейтрофилов в эпителии желудка является типичным для инфекции Нр. Мононуклеары выделяют интерлейкины, факторы некроза опухоли и супероксидные радикалы. Интерлейкины и факторы некроза опухоли не позволяют мононуклеарам мигрировать от места протекания воспалительной реакции. Кроме того, они запускают образование супероксидных радикалов, которые затем превращаются в другие активные промежуточные метаболиты кислорода, токсичные как для Нр, так и для клеток слизистой оболочки.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Другими медиаторами воспаления, связанными с инфекцией Нр, являются, по-видимому, фосфолипаза А2 и фактор активации тромбоцитов (ФАТ). Фосфолипаза А2 участвует в распаде фосфолипидов клеточных мембран организма хозяина, что ведет к образовангию соединений, вызывающих хемотаксис клеток воспаления, а также нарушающих проницаемость мембран. ФАТ способен также вызывать серьезные патологические изменения, в частности, изъязвление желудка, а предшественники ФАТ обнаруживаются в биоптате желудка у больных с Нр-положительными дуоденальными язвами.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Изменение физиологии желудка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Гастрин - пептидный гормон, секретируемый антральными G-клетками. Повышение уровня сывороточного гастрина у больных с Нр - положительными дуоденальными язвами ведет к увеличению секреции кислоты либо непосредственным повышением выработки париетальных клеток, либо увеличением количества обкладочных клеток.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Увеличение высвобождения гастрина антральным отделом желудка в результате инфицирования Нр происходит по следующим причинам: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Аммиак, образующийся под влиянием уреазы Нр, увеличивает рН слизистого слоя эпителия желудка, вмешиваясь таким образом в физиологичесий механизм отрицательной обратной связи между секрецией гастрина и соляной кислоты желудка.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Слизистое воспаление у Нр-инфицированных лиц способно стимулировать секрецию гастрина.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Соматостатин, секретируемый D-клетками антрального отдела, тормозит синтез и секрецию гастрина G-клетками. Исследования, проводимые с участием Нр-инфицированных лиц, выявили у них снижение концентрации антрального соматостатина.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Содержание пепсиногена в крови также повышено у Нр-положительных больных с дуоденальными язвами. Пепсиноген вырабатывается кислотообразующими клетками слизистой оболочки дна желудка и секретируется как в его просвет, так и в кровь. Для образования протеолитического фермента - пепсина - необходима активация его предшественника в кислом содержимом желудка. Увеличение сывороточного уровня пепсиногена I является важным фактором риска развития дуоденальной язвы, это имеет место у 30-50% пациентов.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Эпидемиология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Инфицирование Нр обычно происходит в детстве и при отсутствии лечения персистирует в организме неопределенно долго. Частота инфекции Нр среди детей от 2 до 8 лет в развивающихся странах составляет 10% в год и достигает почти 100% к взрослому возрасту. В развитых странах распространенность Нр также увеличивается с возрастом, однако инфицированность у детей относительно невысокая.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Кроме возраста, важным эпидемиологическим фактором Нр является социально-экономическое положение. В целом, чем ниже социально-экономический статус населения, тем выше риск инфицирования. Существует предположение, что преобладание детского населения в обществе является единственным значимым фактором риска, при этом обеспеченность чистой питьевой водой и соблюдение санитарных норм также важны в профилактике Нр-инфекции.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На основании результатов нескольких исследований эксперты пришли к заключению, что на распространенность Нр влияет профессиональный фактор. Было показано, что работники скотобоен (контакт с инфицированными животными) и врачи-гастроэнтерологи являются группами высокого риска.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2.6. Пути передачи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Естественным резервуаром Нр прежде всего является человек, однако инфекция обнаруживается также у домашних кошек, нечеловекоподобных обезьян и свиней. Существуют два возможных пути передачи: фекально-оральный и, в меньшей степени, орально-оральный.</w:t>
      </w:r>
    </w:p>
    <w:p w:rsidR="00783427" w:rsidRDefault="00783427" w:rsidP="00AD37DC">
      <w:pPr>
        <w:numPr>
          <w:ilvl w:val="12"/>
          <w:numId w:val="0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Фекально-оральный путь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Через зараженную питьевую воду (Нр способен выжить до 2 недель в холодной морской и речной воде).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При употреблении в пищу сырых овощей, для поливки которых используется необработанная сточная вода.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Орально-оральный путь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Имеются данные с высокой выживаемости Нр на зубном налете и в слюне.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В результате заглатывания рвотных масс; Нр способен сохраняться некоторое время в желудочном соке.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Наименее частый - через недостаточно продезинфицированные эндоскопы и щипцы для биопсии (ятрогенный путь передачи).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Реинфекция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Рецидив дуоденальной язвы после проведения терапии, направленной на эрадикацию Нр, часто связан с реинфекцией (повторным инфицированием).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Из результатов исследований частоты реинфекции в течение первого года после проведения соответствующего лечения (больные повторно обследовались каждые 12 месяцев), вытекает, что она колеблется в пределах от 0 до 35%. Ежегодный процент реинфекции имеет тенденцию уменьшаться до 3% и ниже спустя первый год.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Более высокие цифры частоты реинфекции в течение первого года, приводимые рядом исследователей, можно объяснить тем, что они наблюдали ложную реинфекцию, то есть обострение "старой" инфекции. Ложная реинфекция может наблюдаться: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Когда после проведения эрадикационной терапии небольшое число микроорганизмов остается, но не выявляется при контрольном обследовании.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В результате сохранения Нр в других отделах желудочно-кишечного тракта (например, на зубном налете, в слюне или фекалиях), что ведет к аутоинфекции желудка.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 xml:space="preserve">ЗАБОЛЕВАНИЯ, СВЯЗАННЫЕ С </w:t>
      </w:r>
      <w:r>
        <w:rPr>
          <w:rFonts w:ascii="Times New Roman" w:hAnsi="Times New Roman"/>
          <w:b/>
          <w:i/>
          <w:sz w:val="24"/>
          <w:lang w:val="en-GB"/>
        </w:rPr>
        <w:t>НELICOBACTER PYLORI</w:t>
      </w:r>
      <w:r>
        <w:rPr>
          <w:rFonts w:ascii="Times New Roman" w:hAnsi="Times New Roman"/>
          <w:b/>
          <w:sz w:val="24"/>
          <w:lang w:val="en-GB"/>
        </w:rPr>
        <w:t xml:space="preserve"> 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обнаруживается у лиц, страдающих следующими заболеваниями: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Пептическая язва (язвенная болезнь; ЯБ)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Гастрит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Неязвенная диспепсия (НЯД)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Рак желудка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Убедительных данных, свидетельствующих о причинной связи между</w:t>
      </w:r>
      <w:r>
        <w:rPr>
          <w:rFonts w:ascii="Times New Roman" w:hAnsi="Times New Roman"/>
          <w:i/>
          <w:sz w:val="24"/>
          <w:lang w:val="en-GB"/>
        </w:rPr>
        <w:t xml:space="preserve"> Hp </w:t>
      </w:r>
      <w:r>
        <w:rPr>
          <w:rFonts w:ascii="Times New Roman" w:hAnsi="Times New Roman"/>
          <w:sz w:val="24"/>
          <w:lang w:val="en-GB"/>
        </w:rPr>
        <w:t>и развитием рефлюкс-эзофагита, а также язв, индуцированных приемом нестероидных противовоспалительных препаратов (НПВП), в настоящее время не существует.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Пептическая язва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От 90 до 100% лиц с дуоденальными язвами инфицировано Hp.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Изъязвление двенадцатиперстной кишки у</w:t>
      </w:r>
      <w:r>
        <w:rPr>
          <w:rFonts w:ascii="Times New Roman" w:hAnsi="Times New Roman"/>
          <w:i/>
          <w:sz w:val="24"/>
          <w:lang w:val="en-GB"/>
        </w:rPr>
        <w:t xml:space="preserve"> Hp</w:t>
      </w:r>
      <w:r>
        <w:rPr>
          <w:rFonts w:ascii="Times New Roman" w:hAnsi="Times New Roman"/>
          <w:sz w:val="24"/>
          <w:lang w:val="en-GB"/>
        </w:rPr>
        <w:t>- отрицательных лиц обычно является результатом приема НПВП либо проявлением синдрома Золлингера-Эллисона.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При ЯБ желудка инфицированность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приближается к 85%.Прием НПВП- еще один важный этиологический фактор ЯБ желудка.Распространенность инфекции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становится еще выше, если ринимать в рассчет только подгруппу лиц с ЯБ желудка, отрицающих прием НПВП.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Самым убедительным доказательством роли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в патогенезе пептической язвы является положительная динамика в течении заболевания после проведения эрадикационной терапии. Прием антисекреторных препаратов быстро и эффективно заживляет язвы, но сразу после окончания их приема наблюдается рецидив.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Результаты многочисленных исследований подтверждают, что после успешного заживления дуоденальной язвы в течение первых 12 месяцев рецидив наблюдается примерно у 80% лиц, а через 1-2 года после окончания лечения он достигают 100% 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После проведения эрадикационной терапии рецидив отмечается не более чем у 10% лиц в течение 1 года после окончания терапии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Гастрит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Чаще всего обострение хронического гастрита связано с Hp.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В ответ на внедрение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нейтрофилы мигрируют в интраэпителиальные и интерстициальные пространства, сюда же поступают лимфоциты, в том числе  плазматические клетки. В биоптате, полученном в период обострения гастрита, когда в значительном количестве обнаруживаются нейтрофилы, неизменно выявляется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>. Данная форма гастрита чаще локализуется в антральном отделе и отличается наиболее злокачественным течением. В тяжелых случаях в процесс может вовлекаться и тело желудка.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Неязвенная диспепсия (НЯД)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НЯД определяется как рецидивирующее чувство дискомфорта в области эпигастрия, часто связанное с приемом пищи без наличия морфологических признаков пептической язвы.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По данным статистики, НЯД страдает от 20 до 30% населения планеты.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Этиологическая роль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при НЯД остается неясной, существующие по этому поводу данные неоднозначны. Результаты многочисленных исследований свидетельствуют о большей частоте обнаружения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у лиц с НЯД по сравнению с теми, у кого последней нет. Однако достоверность результатов большинства этих исследований подвергается большому сомнению вследствие недостаточного количества исследуемых в контрольных группах.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Рак желудка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Между инфицированностью </w:t>
      </w:r>
      <w:r>
        <w:rPr>
          <w:rFonts w:ascii="Times New Roman" w:hAnsi="Times New Roman"/>
          <w:i/>
          <w:sz w:val="24"/>
          <w:lang w:val="en-GB"/>
        </w:rPr>
        <w:t xml:space="preserve">Hp </w:t>
      </w:r>
      <w:r>
        <w:rPr>
          <w:rFonts w:ascii="Times New Roman" w:hAnsi="Times New Roman"/>
          <w:sz w:val="24"/>
          <w:lang w:val="en-GB"/>
        </w:rPr>
        <w:t>и развитием хронического гастрита  существует сильная корреляционная связь. При хроническом гастрите наблюдаются атрофия желудка и кишечная метаплазия, являющаяся  предраковым состоянием. Однако обнаружение Нр в биоптатах  рака желудка очень проблематично в связи с выраженной атрофией желудка и кишечной метаплазией, при которых невозможно поддержание популяции микроорганизма.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При этом эпидемиологические исследования показали, что распространенность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часто выше в регионах с высокой распространенностью рака желудка. 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Из результатов проспективных исследований вытекает, что у лиц с серологически  доказанным наличием инфекции риск развития рака желудка достоверно выше.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Более того, серологические исследования позволили выявить факт инфицирования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в прошлом у большого числа страдающих раком желудка. В связи с наличием вероятной связи между инфицированностью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и развитием рака желудка в 1994 году экспертами ВОЗ этот микроорганизм заненсен в 1 класс канцерогенов (класс достоверных канцерогенов).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ind w:left="283" w:hanging="283"/>
        <w:rPr>
          <w:rFonts w:ascii="Times New Roman" w:hAnsi="Times New Roman"/>
          <w:b/>
          <w:sz w:val="24"/>
          <w:u w:val="single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ВОПРОСЫ  ДИАГНОСТИКИ  И  ЛЕЧЕНИЯ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ДИАГНОСТИКА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Диагностические тесты, направленные на выявление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>,сведены в таблице 3.1.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Существует два типа тестов - инвазивные и неинвазивные. Для подтверждения успешности эрадикационной терапии указанные исследования должны проводиться не ранее пятой недели после ее завершения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Инвазивные тесты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Все эти исследования требуют проведения гастроскопии с биопсией желудка, при этом имеется три метода выявления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>: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культуральный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гистологический 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быстрый уреазный тест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Культуральный метод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Наличие даже одной бактерии в биоптате ведет к росту нескольких колоний,что позволяет установить точный диагноз. Культуры бактерий инкубируются в микроаэробной среде при температуре 370 С в течение 10 дней после чего проводится микроскопическая или биохимическая идентификация вида выросших бактерий.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Гистологический метод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Гистологичсекое исследование позволет  установить точный диагноз, особенно в сочетании с культуральным  методом или быстрым уреазным тестом.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При этом необходимо иметь в виду, что результаты исследований зависят от опытности специалиста, который их проводит. Специфичность гистологического исследования зависит от присутствия в биоптате бактерий других видов и от количества бактерий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>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Биоптат фиксируется в формалине. При использовании, например, серебросодержащих красителей, в частности красителя Вартина-Старри, и ткани и микроорганизм селективно окрашиваются, что помогает идентификации. В случае микроскопического исследования биоптата обычно просматривают несколько полей зрения. Исследование более одного препарата увеличивает чувствительность исследования.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Быстрый уреазный тест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Используемый в качестве скринингового метода  во время проведения эндоскопического исследования уреазный тест позволяет получить результат в течение часа.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При инкубировании биоптата в течение 24 часов чувствительность теста увеличивается.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Биоптат желудка инкубируется в агаровой среде, содержащей мочевину. При наличии в биоптате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его уреаза превращает мочевину в аммиак, что изменяет рН среды и, следовательно, цвет индикатора. Тест-система CLOtest™ (</w:t>
      </w:r>
      <w:r>
        <w:rPr>
          <w:rFonts w:ascii="Times New Roman" w:hAnsi="Times New Roman"/>
          <w:i/>
          <w:sz w:val="24"/>
          <w:lang w:val="en-GB"/>
        </w:rPr>
        <w:t>Campylobacter-</w:t>
      </w:r>
      <w:r>
        <w:rPr>
          <w:rFonts w:ascii="Times New Roman" w:hAnsi="Times New Roman"/>
          <w:sz w:val="24"/>
          <w:lang w:val="en-GB"/>
        </w:rPr>
        <w:t>like Organism test, Delta West Ltd) позволяет производить уреазный тест.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 xml:space="preserve">Неинвазивные тесты 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Существует 2 разновидности неинвазивных  метода выявления микроорганизма: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обнаружение в биологических жидкостях антител к нему 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уреазный тест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 xml:space="preserve">ОБНАРУЖЕНИЕ АНТИТЕЛ  К  </w:t>
      </w:r>
      <w:r>
        <w:rPr>
          <w:rFonts w:ascii="Times New Roman" w:hAnsi="Times New Roman"/>
          <w:b/>
          <w:sz w:val="24"/>
          <w:lang w:val="en-GB"/>
        </w:rPr>
        <w:t>Hр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Антитела, вырабатываемые в ответ на инфицирование Hp, могут обнаруживаться в сыворотке и плазме крови, слюне и моче.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Данный метод наиболее информативен для выяснения инфицированности микроорганизмом при проведении крупных эпидемиологических исследований. Клиническое применение данного теста ограничивается тем,что он не позволяет дифференцировать факт инфицирования в анамнезе от наличия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в настоящий момент.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Имеется несколько модификаций этого теста, а именно- ELISA (ферментный иммуносорбентный метод), реакции фиксации комплемента, бактериальной и пассивной гемагглютинации, а также метод иммуноблоттинга.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Список коммерческих серологических китов включает в себя Quick Vue™(Quidel Corporation), Helistal ™(Cortecs Diagnostics), Helitest Lab™(Cortecs Diagnostics) и  Pylori Tek ™(Bainbridge Sciences, дистрибьютер- Diagnostic Products Corporation).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УРЕАЗНЫЙ ТЕСТ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Наличие инфекции</w:t>
      </w:r>
      <w:r>
        <w:rPr>
          <w:rFonts w:ascii="Times New Roman" w:hAnsi="Times New Roman"/>
          <w:i/>
          <w:sz w:val="24"/>
          <w:lang w:val="en-GB"/>
        </w:rPr>
        <w:t xml:space="preserve"> Hp</w:t>
      </w:r>
      <w:r>
        <w:rPr>
          <w:rFonts w:ascii="Times New Roman" w:hAnsi="Times New Roman"/>
          <w:sz w:val="24"/>
          <w:lang w:val="en-GB"/>
        </w:rPr>
        <w:t xml:space="preserve"> в желудке определяется  по активности специфичной для данной бактерии уреазы. Пациенту перорально вводится раствор, содержащий меченную 13С или 14С мочевину. В присутствии </w:t>
      </w:r>
      <w:r>
        <w:rPr>
          <w:rFonts w:ascii="Times New Roman" w:hAnsi="Times New Roman"/>
          <w:i/>
          <w:sz w:val="24"/>
          <w:lang w:val="en-GB"/>
        </w:rPr>
        <w:t xml:space="preserve">Hp </w:t>
      </w:r>
      <w:r>
        <w:rPr>
          <w:rFonts w:ascii="Times New Roman" w:hAnsi="Times New Roman"/>
          <w:sz w:val="24"/>
          <w:lang w:val="en-GB"/>
        </w:rPr>
        <w:t>фермент расщепляет мочевину, в результате чего выдыхаемый воздух содержит СО2 с меченным изотопом углерода (13С или 14С), уровень которого и определяется методом массовой спектроскопии или с помощью сцинтилляционного счетчика соответственно.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Таблица 3.1 Сравнение диагностической ценности тестов для вывления </w:t>
      </w:r>
      <w:r>
        <w:rPr>
          <w:rFonts w:ascii="Times New Roman" w:hAnsi="Times New Roman"/>
          <w:i/>
          <w:sz w:val="24"/>
          <w:lang w:val="en-GB"/>
        </w:rPr>
        <w:t>Hp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lang w:val="en-GB"/>
        </w:rPr>
        <w:t>Метод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lang w:val="en-GB"/>
        </w:rPr>
        <w:t>Преимущества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lang w:val="en-GB"/>
        </w:rPr>
        <w:t>Недостатки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lang w:val="en-GB"/>
        </w:rPr>
        <w:t>Применение</w:t>
      </w:r>
      <w:r>
        <w:rPr>
          <w:rFonts w:ascii="Times New Roman" w:hAnsi="Times New Roman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i/>
          <w:lang w:val="en-GB"/>
        </w:rPr>
        <w:t xml:space="preserve">Культуральный  </w:t>
      </w:r>
      <w:r>
        <w:rPr>
          <w:rFonts w:ascii="Times New Roman" w:hAnsi="Times New Roman"/>
          <w:lang w:val="en-GB"/>
        </w:rPr>
        <w:t xml:space="preserve">Биопсия </w:t>
      </w:r>
      <w:r>
        <w:rPr>
          <w:rFonts w:ascii="Times New Roman" w:hAnsi="Times New Roman"/>
          <w:lang w:val="en-GB"/>
        </w:rPr>
        <w:tab/>
        <w:t xml:space="preserve">Точность идентификации  Чувствительность к антибиотикам  может быть определена  </w:t>
      </w:r>
      <w:r>
        <w:rPr>
          <w:rFonts w:ascii="Times New Roman" w:hAnsi="Times New Roman"/>
          <w:i/>
          <w:lang w:val="en-GB"/>
        </w:rPr>
        <w:t>in vitro</w:t>
      </w:r>
      <w:r>
        <w:rPr>
          <w:rFonts w:ascii="Times New Roman" w:hAnsi="Times New Roman"/>
          <w:lang w:val="en-GB"/>
        </w:rPr>
        <w:tab/>
        <w:t>Необходимость неоднократного проведения  исследования  Высокая стоимость  Необходимость наличия специальных сред, требущих много времени для получения результата   Прием  антибиотиков последнего поколения или ИПН  может вести к ложноотрицательным результатам</w:t>
      </w:r>
      <w:r>
        <w:rPr>
          <w:rFonts w:ascii="Times New Roman" w:hAnsi="Times New Roman"/>
          <w:lang w:val="en-GB"/>
        </w:rPr>
        <w:tab/>
        <w:t xml:space="preserve">Установление диагноза  Диспансерное наблюдение после проведения эрадикационной терапии </w:t>
      </w:r>
      <w:r>
        <w:rPr>
          <w:rFonts w:ascii="Times New Roman" w:hAnsi="Times New Roman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i/>
          <w:lang w:val="en-GB"/>
        </w:rPr>
        <w:t xml:space="preserve">Гистологический </w:t>
      </w:r>
      <w:r>
        <w:rPr>
          <w:rFonts w:ascii="Times New Roman" w:hAnsi="Times New Roman"/>
          <w:lang w:val="en-GB"/>
        </w:rPr>
        <w:t xml:space="preserve"> Биопсия</w:t>
      </w:r>
      <w:r>
        <w:rPr>
          <w:rFonts w:ascii="Times New Roman" w:hAnsi="Times New Roman"/>
          <w:lang w:val="en-GB"/>
        </w:rPr>
        <w:tab/>
        <w:t>Доступность  "Золотой стандарт"</w:t>
      </w:r>
      <w:r>
        <w:rPr>
          <w:rFonts w:ascii="Times New Roman" w:hAnsi="Times New Roman"/>
          <w:lang w:val="en-GB"/>
        </w:rPr>
        <w:tab/>
        <w:t>Необходимость неоднократного проведения  исследования  Высокая стоимость  Необходимость наличия специальных сред, требущих много времени для получения результата   Прием  антибиотиков последнего поколения или ИПН  может вести к  ложноотрицатель-ным результатам</w:t>
      </w:r>
      <w:r>
        <w:rPr>
          <w:rFonts w:ascii="Times New Roman" w:hAnsi="Times New Roman"/>
          <w:lang w:val="en-GB"/>
        </w:rPr>
        <w:tab/>
        <w:t xml:space="preserve">Установление диагноза  Оценка состояния  слизистой оболочки желудка  Диспансерное наблюдение после проведения эрадикационной терапии </w:t>
      </w:r>
      <w:r>
        <w:rPr>
          <w:rFonts w:ascii="Times New Roman" w:hAnsi="Times New Roman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ИПН- ингибиторы протонового насоса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ПОКАЗАНИЯ К ПРОВЕДЕНИЮ ЭРАДИКАЦИОННОЙ ТЕРАПИИ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В настоящее время выявление </w:t>
      </w:r>
      <w:r>
        <w:rPr>
          <w:rFonts w:ascii="Times New Roman" w:hAnsi="Times New Roman"/>
          <w:i/>
          <w:sz w:val="24"/>
          <w:lang w:val="en-GB"/>
        </w:rPr>
        <w:t xml:space="preserve">Hp </w:t>
      </w:r>
      <w:r>
        <w:rPr>
          <w:rFonts w:ascii="Times New Roman" w:hAnsi="Times New Roman"/>
          <w:sz w:val="24"/>
          <w:lang w:val="en-GB"/>
        </w:rPr>
        <w:t xml:space="preserve"> требует проведения эрадикационной терапии лишь при наличии четких показаний к ней.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В феврале 1994 года согласительная группа Национального Института Здравоохранения (НИЗ) из США выработала рекомендации по ограничению показаний к проведению эрадикационной терапии у больных  с язвенной болезнью. Позже, в 1996 году в Маахстрихте (Нидерланды) эти рекомендации были модифицированы.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Ниже приводятся рекомендации, общие для обеих групп: 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Пациентам с язвенной болезнью и наличием Hp требуется назначение антибактериальных и антисекреторных препаратов как сразу после установления диагноза, так и в случае обострения заболевания.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(Поддерживающие дозы антисекреторных препаратов показаны больным с анамнестическими данными о желудочно-кишечном кровотечении).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>- инфицированные лица с пептической язвой, длительно получающие антисекреторные препараты или имеющие рефрактерность к ним, также должны принимать антибактериальные препараты.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Эрадикационная терапия желательна  также и у больных с НЯД после полного дифференциально- диагностического исследования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Утверждение о наличии взаимосвязи с инфицированности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и раком желудка требует дальнейшего уточнения.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Не получено убедительных доказательств связи между инфекцией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и развитием рефлюкс- эзофагита, а также язв, индуцированных приемом НПВП.Однако </w:t>
      </w:r>
      <w:r>
        <w:rPr>
          <w:rFonts w:ascii="Times New Roman" w:hAnsi="Times New Roman"/>
          <w:i/>
          <w:sz w:val="24"/>
          <w:lang w:val="en-GB"/>
        </w:rPr>
        <w:t xml:space="preserve">имеются веские основания утверждать, что эрадикация </w:t>
      </w:r>
      <w:r>
        <w:rPr>
          <w:rFonts w:ascii="Times New Roman" w:hAnsi="Times New Roman"/>
          <w:sz w:val="24"/>
          <w:lang w:val="en-GB"/>
        </w:rPr>
        <w:t>Hp</w:t>
      </w:r>
      <w:r>
        <w:rPr>
          <w:rFonts w:ascii="Times New Roman" w:hAnsi="Times New Roman"/>
          <w:i/>
          <w:sz w:val="24"/>
          <w:lang w:val="en-GB"/>
        </w:rPr>
        <w:t xml:space="preserve"> снижает риск развития других осложнений пептической язвы, в частности повторного кровотечения.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При лечении таких больных необходима полная уверенность</w:t>
      </w:r>
      <w:r>
        <w:rPr>
          <w:rFonts w:ascii="Times New Roman" w:hAnsi="Times New Roman"/>
          <w:i/>
          <w:sz w:val="24"/>
          <w:lang w:val="en-GB"/>
        </w:rPr>
        <w:t xml:space="preserve"> </w:t>
      </w:r>
      <w:r>
        <w:rPr>
          <w:rFonts w:ascii="Times New Roman" w:hAnsi="Times New Roman"/>
          <w:sz w:val="24"/>
          <w:lang w:val="en-GB"/>
        </w:rPr>
        <w:t>в том, что эрадикационная терапия была успешной. Это диктует необходимость проведения контрольного исследования через 4 недели и через 6 месяцев после ее окончания, а также антисекреторной терапии в поддерживающих дозах.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Практически, если взрослый пациент с неосложненной дуоденальной язвой не  принимает НПВП, его тестирование  на инфицированность </w:t>
      </w:r>
      <w:r>
        <w:rPr>
          <w:rFonts w:ascii="Times New Roman" w:hAnsi="Times New Roman"/>
          <w:i/>
          <w:sz w:val="24"/>
          <w:lang w:val="en-GB"/>
        </w:rPr>
        <w:t xml:space="preserve">Hp </w:t>
      </w:r>
      <w:r>
        <w:rPr>
          <w:rFonts w:ascii="Times New Roman" w:hAnsi="Times New Roman"/>
          <w:sz w:val="24"/>
          <w:lang w:val="en-GB"/>
        </w:rPr>
        <w:t>смысла не имеет, так как результат неизменно будет положительным.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Необходимо также отметить, что </w:t>
      </w:r>
      <w:r>
        <w:rPr>
          <w:rFonts w:ascii="Times New Roman" w:hAnsi="Times New Roman"/>
          <w:i/>
          <w:sz w:val="24"/>
          <w:lang w:val="en-GB"/>
        </w:rPr>
        <w:t xml:space="preserve">Hp </w:t>
      </w:r>
      <w:r>
        <w:rPr>
          <w:rFonts w:ascii="Times New Roman" w:hAnsi="Times New Roman"/>
          <w:sz w:val="24"/>
          <w:lang w:val="en-GB"/>
        </w:rPr>
        <w:t>не является единственным фактором риска развития пептической язвы. Ниже приводится список еще нескольких из них: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Повышенная кислотность желудка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Группа крови I (0)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Табакокурение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Прием ульцерогенных препаратов, например НПВП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Психологический стресс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Наличие сопутствующих заболеваний, например хроническая дыхательная недостаточность, хроническая почечная недостаточность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Наследственная предрасположенность </w:t>
      </w:r>
    </w:p>
    <w:p w:rsidR="00783427" w:rsidRDefault="00783427" w:rsidP="00AD37DC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Таким образом, кроме проведения эрадикационной терапии, необходимы изменение образа жизни, в частности прекращение курения, и отмена НПВП.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 xml:space="preserve">ПРЕПАРАТЫ, ИСПОЛЬЗУЕМЫЕ ПРИ ПРОВЕДЕНИИ ЭРАДИКАЦИОННОЙ ТЕРАПИИ 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При наличии показаний к проведению эрадикационной терапии обычно назначают антисекреторный препарат в сочетании с антибиотиком, что объясняется следующими причинами: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Некоторые эффективные в отношении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антибиотики менее стабильны в кислой среде, а их эффект потенцируется антисекреторными препаратами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Для заживления язвы необходима соответствующая среда, которая достигается приемом этих препаратов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АНТИСЕКРЕТОРНЫЕ ПРЕПАРАТЫ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На сегодняшний день имеется три группы антисекреторных препаратов: антагонисты Н2-рецепторов, ингибиторы протонового насоса и ПИЛОРИД.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Антагонисты Н2-рецепторов (АГР)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Точкой приложения препаратов этой группы являются рецепторы клеточных мембран, но они также способны подавлять секрецию кислоты и увеличивать рН желудочной среды. Они способствуют заживлению язвы, но не обладают антибактериальной активностью. Кроме Ранитидина (Glaxo Wellcome), в эрадикационной  терапии используются Фамотидин (Yamanouchi, Япония) и Низатидин (Lilly, США).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Ингибиторы протонового насоса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Препараты этой группы мощных антисекреторных препаратов действуют непосредственно на париетальные клетки желудка. В экспериментах </w:t>
      </w:r>
      <w:r>
        <w:rPr>
          <w:rFonts w:ascii="Times New Roman" w:hAnsi="Times New Roman"/>
          <w:i/>
          <w:sz w:val="24"/>
          <w:lang w:val="en-GB"/>
        </w:rPr>
        <w:t>in vitro</w:t>
      </w:r>
      <w:r>
        <w:rPr>
          <w:rFonts w:ascii="Times New Roman" w:hAnsi="Times New Roman"/>
          <w:sz w:val="24"/>
          <w:lang w:val="en-GB"/>
        </w:rPr>
        <w:t xml:space="preserve"> они оказывали очень слабый эффект в отношении</w:t>
      </w:r>
      <w:r>
        <w:rPr>
          <w:rFonts w:ascii="Times New Roman" w:hAnsi="Times New Roman"/>
          <w:i/>
          <w:sz w:val="24"/>
          <w:lang w:val="en-GB"/>
        </w:rPr>
        <w:t xml:space="preserve"> Hp</w:t>
      </w:r>
      <w:r>
        <w:rPr>
          <w:rFonts w:ascii="Times New Roman" w:hAnsi="Times New Roman"/>
          <w:sz w:val="24"/>
          <w:lang w:val="en-GB"/>
        </w:rPr>
        <w:t>. Наиболее широко известным препаратом этой группы является Омепрозол (Astra, Швеция) , но используются также Иансопрозол (Takeda, Япония) и Пантопразол (Byk Gulden, Германия)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ПИЛОРИД (см. ниже)</w:t>
      </w:r>
    </w:p>
    <w:p w:rsidR="00783427" w:rsidRDefault="00783427" w:rsidP="00AD37DC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АНТИБИОТИКИ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Огромное количество антибиотиков прошли испытание на активность по отношению к Hp. Ниже приводится список доказавших свою эффективность антибиотиков: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Кларитромицин- высокоэффективный прерпарат из группы макролидов; обладает кислотоустойчивостью и хорошо всасывается из желудочно- кишечного тракта (ЖКТ)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Амоксициллин- препарат из группы пенициллина, часто используемый в эрадикационной терапии; кислотоустойчив, но менее активен по отношению к</w:t>
      </w:r>
      <w:r>
        <w:rPr>
          <w:rFonts w:ascii="Times New Roman" w:hAnsi="Times New Roman"/>
          <w:i/>
          <w:sz w:val="24"/>
          <w:lang w:val="en-GB"/>
        </w:rPr>
        <w:t xml:space="preserve"> Hp</w:t>
      </w:r>
      <w:r>
        <w:rPr>
          <w:rFonts w:ascii="Times New Roman" w:hAnsi="Times New Roman"/>
          <w:sz w:val="24"/>
          <w:lang w:val="en-GB"/>
        </w:rPr>
        <w:t>, чем  кларитромицин. Для большего эффекта его комбинируют с метронидазолом или тинидазолом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Метронидазол, тинидазол</w:t>
      </w:r>
    </w:p>
    <w:p w:rsidR="00783427" w:rsidRDefault="00783427" w:rsidP="00AD37DC">
      <w:pPr>
        <w:numPr>
          <w:ilvl w:val="12"/>
          <w:numId w:val="0"/>
        </w:numPr>
        <w:tabs>
          <w:tab w:val="left" w:pos="12758"/>
        </w:tabs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ind w:left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Эти антибиотики из группы имидазолов имеют сходную химическую структуру. Их бактерицидный эффект проявляется при низких значениях рН, однако серьезную проблему представляет рост резистентности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к антибиотикам. Следовательно, они часто применяются  в комбинации с одним или двумя антибиотиками из других групп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Тетрациклин</w:t>
      </w:r>
    </w:p>
    <w:p w:rsidR="00783427" w:rsidRDefault="00783427" w:rsidP="00AD37DC">
      <w:pPr>
        <w:numPr>
          <w:ilvl w:val="12"/>
          <w:numId w:val="0"/>
        </w:numPr>
        <w:ind w:left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Данный препарат используется в комбинации, как минимум, с еще одним антибиотиком и чаще всего вместо амоксициллина.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ВИСМУТ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Соли висмута, особенно субсалицилат (Пептобисмол™, Procter &amp; Gamble, США) уже давно используется для купирования  симптомов диспепсии. Висмут оказывает слабый эффект в отношении Hp. Антимикробная активность солей висмута объясняется их водорастворимостью. Другими их достоинствами являются способность заживлять слизистую желудка и их защитные свойства. При приеме висмута возможно временное потемнение языка и стула. В середине 1970-х годов наблюдались редкие случаи энцефалопатии, вызванные приемом висмута, в основном, во Франции и Австралии, где препарат назначался длительно и в высоких дозах- значительно превышающих те, которые необходимы для эрадикации Hp.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Коллоидный висмута субцитрат(CBS, Де-Нол) -другая соль висмута, позволяющая в комбинации с двумя антибиотиками, а иногда еще и с антисекреторным препаратом, в приемлемом числе случаев добиться эрадикации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>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АНТИБИОТИКОРЕЗИСТЕНТНОСТЬ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Антибиотикорезистентность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становится серьезной проблемой в проведении эрадикационной терапии. Резистентность можно подразделить на первичную (внутреннюю) и вторичную (приобретенную):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Первичная  вызывается штаммами</w:t>
      </w:r>
      <w:r>
        <w:rPr>
          <w:rFonts w:ascii="Times New Roman" w:hAnsi="Times New Roman"/>
          <w:i/>
          <w:sz w:val="24"/>
          <w:lang w:val="en-GB"/>
        </w:rPr>
        <w:t xml:space="preserve"> Hp</w:t>
      </w:r>
      <w:r>
        <w:rPr>
          <w:rFonts w:ascii="Times New Roman" w:hAnsi="Times New Roman"/>
          <w:sz w:val="24"/>
          <w:lang w:val="en-GB"/>
        </w:rPr>
        <w:t>, резистентными до начала проведения эрадикационной терапии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Вторичная предполагает резистентность, развившуюся в ходе безуспешной эрадикационной терапии</w:t>
      </w:r>
    </w:p>
    <w:p w:rsidR="00783427" w:rsidRDefault="00783427" w:rsidP="00AD37DC">
      <w:pPr>
        <w:numPr>
          <w:ilvl w:val="12"/>
          <w:numId w:val="0"/>
        </w:numPr>
        <w:tabs>
          <w:tab w:val="left" w:pos="12758"/>
        </w:tabs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Резистентность к метронидазолу связывают с неудачным лечением. Наблюдается выраженное географическое различие в частоте резистентности к метронидазолу, что отражает различную широту применения этого препарата в различных странах. Данные исследований свидетельствуют о том, что резистентность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к метронидазолу в мире растет и в некоторых странах сможет достичь цифр свыше 80%.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Устойчивость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к другим антибиотикам, в том числе к кларитромицину, также обнаружена, но в меньшей степени (для кларитромицина в Западной Европе она составляет 5-10%).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ПИЛОРИД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НОВОЕ ХИМИЧЕСКОЕ СОЕДИНЕНИЕ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ПИЛОРИД (ранитидин висмута цитрат) - новое химическое соединение с уникальным сочетанием свойств: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Активности в отношении</w:t>
      </w:r>
      <w:r>
        <w:rPr>
          <w:rFonts w:ascii="Times New Roman" w:hAnsi="Times New Roman"/>
          <w:i/>
          <w:sz w:val="24"/>
          <w:lang w:val="en-GB"/>
        </w:rPr>
        <w:t xml:space="preserve"> Hp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Подавление секреции кислоты в желудке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Защитные сойства по отношению к слизистой оболочке желудка</w:t>
      </w:r>
    </w:p>
    <w:p w:rsidR="00783427" w:rsidRDefault="00783427" w:rsidP="00AD37DC">
      <w:pPr>
        <w:numPr>
          <w:ilvl w:val="12"/>
          <w:numId w:val="0"/>
        </w:numPr>
        <w:tabs>
          <w:tab w:val="left" w:pos="12758"/>
        </w:tabs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ПИЛОРИД обладает уникальными физико-химическими свойствами, отличающимися  от свойств простой смеси ранитидина гидрохлорида и висмута цитрата. Таким образом, ПИЛОРИД отличается 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Физико- химическими свойствами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Биологическими свойствами.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ФИЗИКО- ХИМИЧЕСКИЕ СВОЙСТВА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Физико- химические свойства, значительно отличающие ПИЛОРИД от простой смеси ранитидина гидрохлорида и висмута цитрата, сводятся к следующим: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Температура плавления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Спектроскопические параметры (в частности характер диффракции и спектры ядерно- магнитного резонанса, ЯМР)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Водорастворимость- висмута цитрат изолированно или в присутствии ранитидина гидрохлорида практически нерастворим в воде. ПИЛОРИД же полностью растворяется при рН 4.</w:t>
      </w:r>
    </w:p>
    <w:p w:rsidR="00783427" w:rsidRDefault="00783427" w:rsidP="00AD37DC">
      <w:pPr>
        <w:numPr>
          <w:ilvl w:val="12"/>
          <w:numId w:val="0"/>
        </w:numPr>
        <w:tabs>
          <w:tab w:val="left" w:pos="12758"/>
        </w:tabs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БИОЛОГИЧЕСКИЕ СВОЙСТВА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Биологическими свойствами, отличающими ПИЛОРИД от смеси ранитидина гидрохлорида и висмута цитрата, явлются его активность по отношению к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 xml:space="preserve">Hp </w:t>
      </w:r>
      <w:r>
        <w:rPr>
          <w:rFonts w:ascii="Times New Roman" w:hAnsi="Times New Roman"/>
          <w:sz w:val="24"/>
          <w:lang w:val="en-GB"/>
        </w:rPr>
        <w:t>и подавление образования пепсина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 xml:space="preserve">Активность в отношении </w:t>
      </w:r>
      <w:r>
        <w:rPr>
          <w:rFonts w:ascii="Times New Roman" w:hAnsi="Times New Roman"/>
          <w:b/>
          <w:i/>
          <w:sz w:val="24"/>
          <w:lang w:val="en-GB"/>
        </w:rPr>
        <w:t>Hp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Минимальная подавляющая концентрация (МПК) ПИЛОРИДа по отношению к Hp приблизительно равна половине той, которой обладает эквимолярная смесь ранитидина гидрохлорида и висмута цитрата.(Таблица 4.4).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Увеличение антимикробной активности препарата связана с растворимостью солей висмута.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Таблица 4.4 </w:t>
      </w:r>
      <w:r>
        <w:rPr>
          <w:rFonts w:ascii="Times New Roman" w:hAnsi="Times New Roman"/>
          <w:sz w:val="24"/>
          <w:lang w:val="en-GB"/>
        </w:rPr>
        <w:tab/>
        <w:t xml:space="preserve">Сравнение активности ранитидина висмута цитрата и смеси ранитидина гидрохлорида и висмута цитрата </w:t>
      </w:r>
      <w:r>
        <w:rPr>
          <w:rFonts w:ascii="Times New Roman" w:hAnsi="Times New Roman"/>
          <w:i/>
          <w:sz w:val="24"/>
          <w:lang w:val="en-GB"/>
        </w:rPr>
        <w:t>in vitro</w:t>
      </w:r>
      <w:r>
        <w:rPr>
          <w:rFonts w:ascii="Times New Roman" w:hAnsi="Times New Roman"/>
          <w:sz w:val="24"/>
          <w:lang w:val="en-GB"/>
        </w:rPr>
        <w:t xml:space="preserve"> по отношению к 14 штаммам </w:t>
      </w:r>
      <w:r>
        <w:rPr>
          <w:rFonts w:ascii="Times New Roman" w:hAnsi="Times New Roman"/>
          <w:i/>
          <w:sz w:val="24"/>
          <w:lang w:val="en-GB"/>
        </w:rPr>
        <w:t>Hp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Лечение</w:t>
      </w:r>
      <w:r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b/>
          <w:sz w:val="24"/>
          <w:lang w:val="en-GB"/>
        </w:rPr>
        <w:t>Средняя геометрическая МПК а (мг/ л)</w:t>
      </w:r>
      <w:r>
        <w:rPr>
          <w:rFonts w:ascii="Times New Roman" w:hAnsi="Times New Roman"/>
          <w:b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Ранитидин висмута цитрат</w:t>
      </w:r>
      <w:r>
        <w:rPr>
          <w:rFonts w:ascii="Times New Roman" w:hAnsi="Times New Roman"/>
          <w:sz w:val="24"/>
          <w:lang w:val="en-GB"/>
        </w:rPr>
        <w:tab/>
        <w:t xml:space="preserve">                12,5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Висмута цитрат</w:t>
      </w:r>
      <w:r>
        <w:rPr>
          <w:rFonts w:ascii="Times New Roman" w:hAnsi="Times New Roman"/>
          <w:sz w:val="24"/>
          <w:lang w:val="en-GB"/>
        </w:rPr>
        <w:tab/>
        <w:t xml:space="preserve">                20,2в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Ранитидина гидрохлорид+ висмута цитратб</w:t>
      </w:r>
      <w:r>
        <w:rPr>
          <w:rFonts w:ascii="Times New Roman" w:hAnsi="Times New Roman"/>
          <w:sz w:val="24"/>
          <w:lang w:val="en-GB"/>
        </w:rPr>
        <w:tab/>
        <w:t xml:space="preserve">                                 25,7в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tabs>
          <w:tab w:val="left" w:pos="12758"/>
        </w:tabs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аКонцентрация ионов висмута; б в конценрациях, эквимолярных таковым в ранитидине висмута цитрата; вр&lt;0,01 по сравнению с ранитидином висмута цитрата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ПОДАВЛЕНИЕ ОБРАЗОВАНИЯ ПЕПСИНА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Пепсин, фермент участвующий в распаде белков, считается важным фактором развития пептической язвы. Пепсин человека существует в нескольких изомерных формах, при этом пепсин 1 получил название ульцерогенного пепсина. В экспериментах</w:t>
      </w:r>
      <w:r>
        <w:rPr>
          <w:rFonts w:ascii="Times New Roman" w:hAnsi="Times New Roman"/>
          <w:i/>
          <w:sz w:val="24"/>
          <w:lang w:val="en-GB"/>
        </w:rPr>
        <w:t xml:space="preserve"> in </w:t>
      </w:r>
      <w:r>
        <w:rPr>
          <w:rFonts w:ascii="Times New Roman" w:hAnsi="Times New Roman"/>
          <w:sz w:val="24"/>
          <w:lang w:val="en-GB"/>
        </w:rPr>
        <w:t>vitro ПИЛОРИД  значительно ингибирует активность пепсина. (Рис. 4.5).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Суспензия ранитидина и висмута цитрата изолированно или в сочетании друг с другом не оказывают значимого эффекта ни на один из изоферментов пепсина.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ВИСМУТ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Благодаря наличию висмута в ПИЛОРИДе этот препарат оказывает антибактериальное действие по отношению к Hp и снижает активность пепсина (</w:t>
      </w:r>
      <w:r>
        <w:rPr>
          <w:rFonts w:ascii="Times New Roman" w:hAnsi="Times New Roman"/>
          <w:i/>
          <w:sz w:val="24"/>
          <w:lang w:val="en-GB"/>
        </w:rPr>
        <w:t>in vitro</w:t>
      </w:r>
      <w:r>
        <w:rPr>
          <w:rFonts w:ascii="Times New Roman" w:hAnsi="Times New Roman"/>
          <w:sz w:val="24"/>
          <w:lang w:val="en-GB"/>
        </w:rPr>
        <w:t>) , а также, по не ясному пока механизму, оказывает протективный эффект на слизистую оболочку желудка. ПИЛОРИД был разработан с тем рассчетом, что при растворении в желудке он обеспечивает высокую концентрацию висмута в нем.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Всасываемость висмута при пероральном приеме препарата составляет 0,5% принятой дозы, остальная же часть в неизмененном виде проходит через ЖКТ.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По окончании терапии ПИЛОРИДом содержание висмута в сыворотке крови ничтожно мало и значительно меньше МПК для</w:t>
      </w:r>
      <w:r>
        <w:rPr>
          <w:rFonts w:ascii="Times New Roman" w:hAnsi="Times New Roman"/>
          <w:i/>
          <w:sz w:val="24"/>
          <w:lang w:val="en-GB"/>
        </w:rPr>
        <w:t xml:space="preserve"> Hp</w:t>
      </w:r>
      <w:r>
        <w:rPr>
          <w:rFonts w:ascii="Times New Roman" w:hAnsi="Times New Roman"/>
          <w:sz w:val="24"/>
          <w:lang w:val="en-GB"/>
        </w:rPr>
        <w:t>, что свидетельствует о его местном, а не системном действии.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СИНЕРГИЗМ С КЛАРИТРОМИЦИНОМ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О синергизме говорят, когода эффект от комбинированного применения препаратов превышает сумму эффектов каждого из них в отдельности. Исследования </w:t>
      </w:r>
      <w:r>
        <w:rPr>
          <w:rFonts w:ascii="Times New Roman" w:hAnsi="Times New Roman"/>
          <w:i/>
          <w:sz w:val="24"/>
          <w:lang w:val="en-GB"/>
        </w:rPr>
        <w:t>in vitro</w:t>
      </w:r>
      <w:r>
        <w:rPr>
          <w:rFonts w:ascii="Times New Roman" w:hAnsi="Times New Roman"/>
          <w:sz w:val="24"/>
          <w:lang w:val="en-GB"/>
        </w:rPr>
        <w:t xml:space="preserve"> показали, что </w:t>
      </w:r>
      <w:r>
        <w:rPr>
          <w:rFonts w:ascii="Times New Roman" w:hAnsi="Times New Roman"/>
          <w:i/>
          <w:sz w:val="24"/>
          <w:lang w:val="en-GB"/>
        </w:rPr>
        <w:t>сочетание ПИЛОРИДа с кларитромицином обладают синергизмом в проявлении бактерицидного эффекта в отношении</w:t>
      </w:r>
      <w:r>
        <w:rPr>
          <w:rFonts w:ascii="Times New Roman" w:hAnsi="Times New Roman"/>
          <w:sz w:val="24"/>
          <w:lang w:val="en-GB"/>
        </w:rPr>
        <w:t xml:space="preserve"> Hp. Выяснилось, что при сочетанном применении указанных препаратов он составляет 24 часа.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РЕЗИСТЕНТНОСТЬ К КЛАРИТРОМИЦИНУ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Применение ПИЛОРИДа повышает бактерицидную активность кларитромицина в отношении штаммов Hp, резистентных к этому антибиотику.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В исследованиях </w:t>
      </w:r>
      <w:r>
        <w:rPr>
          <w:rFonts w:ascii="Times New Roman" w:hAnsi="Times New Roman"/>
          <w:i/>
          <w:sz w:val="24"/>
          <w:lang w:val="en-GB"/>
        </w:rPr>
        <w:t>in vitro</w:t>
      </w:r>
      <w:r>
        <w:rPr>
          <w:rFonts w:ascii="Times New Roman" w:hAnsi="Times New Roman"/>
          <w:sz w:val="24"/>
          <w:lang w:val="en-GB"/>
        </w:rPr>
        <w:t xml:space="preserve"> было показано, что бактерицидная активность комбинации ПИЛОРИДа с кларитромицином в отношении бактериальных штаммов, резистентных к кларитромицину, в 1000 раз выше, чем при изолированном применении ПИЛОРИДа. Таким образом, ПИЛОРИД является синергистом кларитромицина, даже в отношении резистентных к нему штаммов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. 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КЛИНИЧЕСКИЕ ДОКАЗАТЕЛЬСТВА ЭФФЕКТИВНОСТИ ПИЛОРИДА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5.1</w:t>
      </w:r>
      <w:r>
        <w:rPr>
          <w:rFonts w:ascii="Times New Roman" w:hAnsi="Times New Roman"/>
          <w:b/>
          <w:i/>
          <w:sz w:val="24"/>
          <w:lang w:val="en-GB"/>
        </w:rPr>
        <w:tab/>
        <w:t>ЗАЖИВЛЕНИЕ ДУОДЕНАЛЬНЫХ ЯЗВ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ПИЛОРИД способствует эффективному заживлению как язв желудка, так и двенадцатиперстной кишки.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Прием ПИЛОРИДа эффективно способствует заживлению дуоденальных язв. В исследовании, ставящем своей целью выяснение оптимальной дозы препарата, было показано, что прием ПИЛОРИДа в дозе 400 и 800 мг 2 раза в день в течение 4 недель оказался более эффективным, чем прием 200 мг 2 раза в день или прием ранитидина гидрохлорида в дозе 150 мг 2 раза в день. Преимущества дозы в 800 мг перед дозой в 400 мг не обнаружено.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ЗАЖИВЛЕНИЕ ЯЗВ ЖЕЛУДКА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ПИЛОРИД эффективен в лечении язв желудка. При сравнении результатов приема больными ПИЛОРИДа в дозе 200, 400 и 800 мг 2 раза в день по сравнению с приемом 150 мг ранитидина гидрохлорида в течение 8 недель выяснилось, что дозы 400 и 800 мг 2 раза в день достоверно эффективнее дозы ПИЛОРИДа в 200 мг 2 раза в день или 150 мг ранитидина гидрохлорида 2 раза в день.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ЭРАДИКАЦИЯ Hp С ПОМОЩЬЮ ПИЛОРИДА В СОЧЕТАНИИ С КЛАРИТРОМИЦИНОМ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Было проведено 4 клинических испытания, каждое из которых было многоцентровым, рандомизированным, двойным слепым и имело параллельные группы больных.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Стойко высокие уровни эрадикации микроорганизма (82- 94%) были достигнуты в результате приема ПИЛОРИДа в дозе 400 мг 2 раза в день в сочетании с кларитромицином в Европе- по 250 мг 4 раза в день, в США 500 мг 3 раза в день).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В обоих исследованиях, проведенных в Европе, преимуществ приема ПИЛОРИДа в дозе 800 мг 2 раза в день по сравнению с таковым в дозе 400 мг 2 раза в день(в обоих случаях в сочетании с кларитромицином) не выявлено.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Недавно были завершены еще два исследования, сравнивающие эффективность различных доз кларитромицина у больных с дуоденальными язвами. В обоих случаях пациенты получали ПИЛОРИД в дозе 400 мг 2 раза в день в течение 4 недель в сочетании с кларитромицином по 250 мг 4 раза в день или 500 мг 2 раза в день в течение первых  недель лечения. В одно из исследований была включена третья группа больных, которые, кроме кларитромицина в дозе 500 мг 2 раза в день, в течение первых 2 недель принимали метронидазол в дозе 400 мг 2 раза в день.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В первом исследовании эффективность дозы кларитромицина 500 мг 2 раза  в день в отношении эрадикации микроорганизма была соизмеримой с дозой 250 мг 4 раза в день и составила </w:t>
      </w:r>
      <w:r>
        <w:rPr>
          <w:rFonts w:ascii="Times New Roman" w:hAnsi="Times New Roman"/>
          <w:b/>
          <w:i/>
          <w:sz w:val="24"/>
          <w:lang w:val="en-GB"/>
        </w:rPr>
        <w:t>96%</w:t>
      </w:r>
      <w:r>
        <w:rPr>
          <w:rFonts w:ascii="Times New Roman" w:hAnsi="Times New Roman"/>
          <w:sz w:val="24"/>
          <w:lang w:val="en-GB"/>
        </w:rPr>
        <w:t xml:space="preserve"> и 92% соответственно.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Во втором исследовании в результате двукратного приема ПИЛОРИДа и кларитромицина по 500 мг эрадикация достигла </w:t>
      </w:r>
      <w:r>
        <w:rPr>
          <w:rFonts w:ascii="Times New Roman" w:hAnsi="Times New Roman"/>
          <w:b/>
          <w:i/>
          <w:sz w:val="24"/>
          <w:lang w:val="en-GB"/>
        </w:rPr>
        <w:t>93%</w:t>
      </w:r>
      <w:r>
        <w:rPr>
          <w:rFonts w:ascii="Times New Roman" w:hAnsi="Times New Roman"/>
          <w:sz w:val="24"/>
          <w:lang w:val="en-GB"/>
        </w:rPr>
        <w:t>, что значительно выше, чем в случае приема кларитромицина в дозе 250 мг 4 раза в день (84%), и эквивалетной эффективности тройной схемы, включающей в себя метронидазол.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 xml:space="preserve">Двукратный прием ПИЛОРИДа и кларитромицина в дозе 500 мг позволял достичь эрадикации Hp в </w:t>
      </w:r>
      <w:r>
        <w:rPr>
          <w:rFonts w:ascii="Times New Roman" w:hAnsi="Times New Roman"/>
          <w:b/>
          <w:i/>
          <w:sz w:val="24"/>
          <w:lang w:val="en-GB"/>
        </w:rPr>
        <w:t xml:space="preserve">96% </w:t>
      </w:r>
      <w:r>
        <w:rPr>
          <w:rFonts w:ascii="Times New Roman" w:hAnsi="Times New Roman"/>
          <w:i/>
          <w:sz w:val="24"/>
          <w:lang w:val="en-GB"/>
        </w:rPr>
        <w:t>случаев.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КУПИРОВАНИЕ СИМПТОМОВ ЗАБОЛЕВАНИЯ С ПОМОЩЬЮ ПИЛОРИДА В СОЧЕТАНИИ С КЛАРИТРОМИЦИНОМ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Прием ПИЛОРИДа в сочетании с кларитромицином в течение 2 недель с последующим переходом на монотерапию ПИЛОРИДом на протяжении еще 2 недель обеспечивал исчезновение жалоб больного.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СОЧЕТАНИЕ С АМОКСИЦИЛЛИНОМ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Кларитромицин является препаратом выбора в комбинированной эрадикационной терапии с ПИЛОРИДом.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В отсутствие кларитромицина Пилорид можно сочетать с амоксициллином, хотя эффективность такой комбинации конечно ниже. При этом частота эрадикации </w:t>
      </w:r>
      <w:r>
        <w:rPr>
          <w:rFonts w:ascii="Times New Roman" w:hAnsi="Times New Roman"/>
          <w:i/>
          <w:sz w:val="24"/>
          <w:lang w:val="en-GB"/>
        </w:rPr>
        <w:t>Hp</w:t>
      </w:r>
      <w:r>
        <w:rPr>
          <w:rFonts w:ascii="Times New Roman" w:hAnsi="Times New Roman"/>
          <w:sz w:val="24"/>
          <w:lang w:val="en-GB"/>
        </w:rPr>
        <w:t xml:space="preserve"> соизмерима с таковой при его использовании с омепрозолом. В последнее время большой интерес вызывают схемы с использованием двух антибактериальных средств и ПИЛОРИДА. О результатах их применения см. ниже.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КЛИНИЧЕСКАЯ БЕЗОПАСНОСТЬ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i/>
          <w:sz w:val="24"/>
          <w:lang w:val="en-GB"/>
        </w:rPr>
      </w:pPr>
      <w:r>
        <w:rPr>
          <w:rFonts w:ascii="Times New Roman" w:hAnsi="Times New Roman"/>
          <w:i/>
          <w:sz w:val="24"/>
          <w:lang w:val="en-GB"/>
        </w:rPr>
        <w:t>В контролируемых клинических испытаниях переносимость ПИЛОРИДа была хорошей.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Профиль безопасности препарата был соизмерим с таковым у больных, принимавших плацебо и ранитидина гидрохлорид. Увеличения частоты побочных эффектов не наблюдалось и в случаях комбинации препарата с кларитромицином или амоксициллином по сравнению с теми, кто принимал только ПИЛОРИД. Единственное, что отмечали больные, как это и следовало ожидать в случае приема висмут-содержащих препаратов, это было почернение стула и реже почернение языка.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i/>
          <w:sz w:val="28"/>
          <w:lang w:val="en-GB"/>
        </w:rPr>
        <w:t>Схемы, используемые для эрадикации Нр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ЗОЛОТОЙ СТАНДАРТ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"Золотым стандартом" в эрадикации Hp ранее считалась комбинация коллоидального субцитрата висмута (например Де-Нол), назначаемого в течение 4 недель, с антибактериальными препаратами (амоксициллин и метронидазол или тетрациклин), назначаемых в течение первых двух недель лечения. Такая схема показала высокую эффективность в отношении удаления Hp, однако ее нельзя считать идеальной в связи с большой частотой развития побочных эффектов и сложной схемы приема препаратов, что может привести к отказу пациента от лечения.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i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ДВУХКОМПОНЕНТНАЯ СХЕМА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При поиске оптимальных схем лечения (высокая эффективность при низкой частоте побочных эффектов и удобстве приема) изучали двухкомпонентные схемы. Результаты, полученные при использовании комбинации омепразола с амоксициллином, были очень противоречивы. Уровни эрадикации Hp составили от 0 до 92% (средний 60%). Однако среди специалистов возросло мнение, что омепразол в комбинации с амоксициллином не дает высокой частоты эрадикации бактерии. 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Другими двухкомпонентными режимами являются комбинация препарата ПИЛОРИД с клартиромицином и комбинация омепразола с кларитромицином.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комбинация ПИЛОРИДа с кларитромицином показала эффективность в 82 - 96% случаев, что соспоставимо с эффективностью трехкомпонентных схем.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Комбинация омепразола с кларитромицином показала значительно более низкую эффективность (в среднем 66%).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ТРЕХКОМПОНЕНТНАЯ СХЕМА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Недавно в Европе появилась тенденция к использованию более коротких курсов лечения, направленных на эрадикацию Hр. Исследование МATCH-1, проводило сравнение пяти различных режимов комбинации омепразола с двумя антибиотиками, показавших эффективность в 79 - 96% случаев. Данные схемы лечения были зарегистрированы в некоторых странах Европы и других частях мира. 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Обзор литературы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Ниже приводятся наиболее широко используемые схемы, направленные на элиминацию Hр. Следует отметить, что помимо отличий в дозах и продолжительности лечения, исследования имеют популяционные отличия, различные диагностические методики (типы и количество проводимых тестов), а также разные методы анализа, используемые для подсчета уровня элиминации.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 xml:space="preserve">Монотерапия 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Препарат</w:t>
      </w:r>
      <w:r>
        <w:rPr>
          <w:rFonts w:ascii="Times New Roman" w:hAnsi="Times New Roman"/>
          <w:sz w:val="24"/>
          <w:lang w:val="en-GB"/>
        </w:rPr>
        <w:tab/>
        <w:t>Суточная доза (мг)</w:t>
      </w:r>
      <w:r>
        <w:rPr>
          <w:rFonts w:ascii="Times New Roman" w:hAnsi="Times New Roman"/>
          <w:sz w:val="24"/>
          <w:lang w:val="en-GB"/>
        </w:rPr>
        <w:tab/>
        <w:t>Продолжите-льность (дни)</w:t>
      </w:r>
      <w:r>
        <w:rPr>
          <w:rFonts w:ascii="Times New Roman" w:hAnsi="Times New Roman"/>
          <w:sz w:val="24"/>
          <w:lang w:val="en-GB"/>
        </w:rPr>
        <w:tab/>
        <w:t>Уровень эрадикации (%)</w:t>
      </w:r>
      <w:r>
        <w:rPr>
          <w:rFonts w:ascii="Times New Roman" w:hAnsi="Times New Roman"/>
          <w:sz w:val="24"/>
          <w:lang w:val="en-GB"/>
        </w:rPr>
        <w:tab/>
        <w:t>Обобщен-ные данные (%)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Кларитромицин</w:t>
      </w:r>
      <w:r>
        <w:rPr>
          <w:rFonts w:ascii="Times New Roman" w:hAnsi="Times New Roman"/>
          <w:sz w:val="24"/>
          <w:lang w:val="en-GB"/>
        </w:rPr>
        <w:tab/>
        <w:t>1000 -2000</w:t>
      </w:r>
      <w:r>
        <w:rPr>
          <w:rFonts w:ascii="Times New Roman" w:hAnsi="Times New Roman"/>
          <w:sz w:val="24"/>
          <w:lang w:val="en-GB"/>
        </w:rPr>
        <w:tab/>
        <w:t>14</w:t>
      </w:r>
      <w:r>
        <w:rPr>
          <w:rFonts w:ascii="Times New Roman" w:hAnsi="Times New Roman"/>
          <w:sz w:val="24"/>
          <w:lang w:val="en-GB"/>
        </w:rPr>
        <w:tab/>
        <w:t>11 - 54</w:t>
      </w:r>
      <w:r>
        <w:rPr>
          <w:rFonts w:ascii="Times New Roman" w:hAnsi="Times New Roman"/>
          <w:sz w:val="24"/>
          <w:lang w:val="en-GB"/>
        </w:rPr>
        <w:tab/>
        <w:t>34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КСВ*</w:t>
      </w:r>
      <w:r>
        <w:rPr>
          <w:rFonts w:ascii="Times New Roman" w:hAnsi="Times New Roman"/>
          <w:sz w:val="24"/>
          <w:lang w:val="en-GB"/>
        </w:rPr>
        <w:tab/>
        <w:t>480 - 720</w:t>
      </w:r>
      <w:r>
        <w:rPr>
          <w:rFonts w:ascii="Times New Roman" w:hAnsi="Times New Roman"/>
          <w:sz w:val="24"/>
          <w:lang w:val="en-GB"/>
        </w:rPr>
        <w:tab/>
        <w:t>14 -28</w:t>
      </w:r>
      <w:r>
        <w:rPr>
          <w:rFonts w:ascii="Times New Roman" w:hAnsi="Times New Roman"/>
          <w:sz w:val="24"/>
          <w:lang w:val="en-GB"/>
        </w:rPr>
        <w:tab/>
        <w:t>19 -33</w:t>
      </w:r>
      <w:r>
        <w:rPr>
          <w:rFonts w:ascii="Times New Roman" w:hAnsi="Times New Roman"/>
          <w:sz w:val="24"/>
          <w:lang w:val="en-GB"/>
        </w:rPr>
        <w:tab/>
        <w:t>25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Амоксициллин</w:t>
      </w:r>
      <w:r>
        <w:rPr>
          <w:rFonts w:ascii="Times New Roman" w:hAnsi="Times New Roman"/>
          <w:sz w:val="24"/>
          <w:lang w:val="en-GB"/>
        </w:rPr>
        <w:tab/>
        <w:t>50 -1500</w:t>
      </w:r>
      <w:r>
        <w:rPr>
          <w:rFonts w:ascii="Times New Roman" w:hAnsi="Times New Roman"/>
          <w:sz w:val="24"/>
          <w:lang w:val="en-GB"/>
        </w:rPr>
        <w:tab/>
        <w:t>14 - 28</w:t>
      </w:r>
      <w:r>
        <w:rPr>
          <w:rFonts w:ascii="Times New Roman" w:hAnsi="Times New Roman"/>
          <w:sz w:val="24"/>
          <w:lang w:val="en-GB"/>
        </w:rPr>
        <w:tab/>
        <w:t>0 - 28</w:t>
      </w:r>
      <w:r>
        <w:rPr>
          <w:rFonts w:ascii="Times New Roman" w:hAnsi="Times New Roman"/>
          <w:sz w:val="24"/>
          <w:lang w:val="en-GB"/>
        </w:rPr>
        <w:tab/>
        <w:t>13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ССВ**</w:t>
      </w:r>
      <w:r>
        <w:rPr>
          <w:rFonts w:ascii="Times New Roman" w:hAnsi="Times New Roman"/>
          <w:sz w:val="24"/>
          <w:lang w:val="en-GB"/>
        </w:rPr>
        <w:tab/>
        <w:t>900 - 2100</w:t>
      </w:r>
      <w:r>
        <w:rPr>
          <w:rFonts w:ascii="Times New Roman" w:hAnsi="Times New Roman"/>
          <w:sz w:val="24"/>
          <w:lang w:val="en-GB"/>
        </w:rPr>
        <w:tab/>
        <w:t>21 - 42</w:t>
      </w:r>
      <w:r>
        <w:rPr>
          <w:rFonts w:ascii="Times New Roman" w:hAnsi="Times New Roman"/>
          <w:sz w:val="24"/>
          <w:lang w:val="en-GB"/>
        </w:rPr>
        <w:tab/>
        <w:t>0 - 56</w:t>
      </w:r>
      <w:r>
        <w:rPr>
          <w:rFonts w:ascii="Times New Roman" w:hAnsi="Times New Roman"/>
          <w:sz w:val="24"/>
          <w:lang w:val="en-GB"/>
        </w:rPr>
        <w:tab/>
        <w:t>10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Омепразол</w:t>
      </w:r>
      <w:r>
        <w:rPr>
          <w:rFonts w:ascii="Times New Roman" w:hAnsi="Times New Roman"/>
          <w:sz w:val="24"/>
          <w:lang w:val="en-GB"/>
        </w:rPr>
        <w:tab/>
        <w:t>20 - 40</w:t>
      </w:r>
      <w:r>
        <w:rPr>
          <w:rFonts w:ascii="Times New Roman" w:hAnsi="Times New Roman"/>
          <w:sz w:val="24"/>
          <w:lang w:val="en-GB"/>
        </w:rPr>
        <w:tab/>
        <w:t>14 - 28</w:t>
      </w:r>
      <w:r>
        <w:rPr>
          <w:rFonts w:ascii="Times New Roman" w:hAnsi="Times New Roman"/>
          <w:sz w:val="24"/>
          <w:lang w:val="en-GB"/>
        </w:rPr>
        <w:tab/>
        <w:t>0 - 17</w:t>
      </w:r>
      <w:r>
        <w:rPr>
          <w:rFonts w:ascii="Times New Roman" w:hAnsi="Times New Roman"/>
          <w:sz w:val="24"/>
          <w:lang w:val="en-GB"/>
        </w:rPr>
        <w:tab/>
        <w:t>4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Лансопразол</w:t>
      </w:r>
      <w:r>
        <w:rPr>
          <w:rFonts w:ascii="Times New Roman" w:hAnsi="Times New Roman"/>
          <w:sz w:val="24"/>
          <w:lang w:val="en-GB"/>
        </w:rPr>
        <w:tab/>
        <w:t>30 - 60</w:t>
      </w:r>
      <w:r>
        <w:rPr>
          <w:rFonts w:ascii="Times New Roman" w:hAnsi="Times New Roman"/>
          <w:sz w:val="24"/>
          <w:lang w:val="en-GB"/>
        </w:rPr>
        <w:tab/>
        <w:t>14 - 56</w:t>
      </w:r>
      <w:r>
        <w:rPr>
          <w:rFonts w:ascii="Times New Roman" w:hAnsi="Times New Roman"/>
          <w:sz w:val="24"/>
          <w:lang w:val="en-GB"/>
        </w:rPr>
        <w:tab/>
        <w:t>0 - 10</w:t>
      </w:r>
      <w:r>
        <w:rPr>
          <w:rFonts w:ascii="Times New Roman" w:hAnsi="Times New Roman"/>
          <w:sz w:val="24"/>
          <w:lang w:val="en-GB"/>
        </w:rPr>
        <w:tab/>
        <w:t>3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Ранитидин</w:t>
      </w:r>
      <w:r>
        <w:rPr>
          <w:rFonts w:ascii="Times New Roman" w:hAnsi="Times New Roman"/>
          <w:sz w:val="24"/>
          <w:lang w:val="en-GB"/>
        </w:rPr>
        <w:tab/>
        <w:t>300</w:t>
      </w:r>
      <w:r>
        <w:rPr>
          <w:rFonts w:ascii="Times New Roman" w:hAnsi="Times New Roman"/>
          <w:sz w:val="24"/>
          <w:lang w:val="en-GB"/>
        </w:rPr>
        <w:tab/>
        <w:t>28 - 56</w:t>
      </w:r>
      <w:r>
        <w:rPr>
          <w:rFonts w:ascii="Times New Roman" w:hAnsi="Times New Roman"/>
          <w:sz w:val="24"/>
          <w:lang w:val="en-GB"/>
        </w:rPr>
        <w:tab/>
        <w:t>0 - 4</w:t>
      </w:r>
      <w:r>
        <w:rPr>
          <w:rFonts w:ascii="Times New Roman" w:hAnsi="Times New Roman"/>
          <w:sz w:val="24"/>
          <w:lang w:val="en-GB"/>
        </w:rPr>
        <w:tab/>
        <w:t>1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*</w:t>
      </w:r>
      <w:r>
        <w:rPr>
          <w:rFonts w:ascii="Times New Roman" w:hAnsi="Times New Roman"/>
          <w:sz w:val="24"/>
          <w:lang w:val="en-GB"/>
        </w:rPr>
        <w:tab/>
        <w:t>КСВ- коллоидный субцитрат висмута; **</w:t>
      </w:r>
      <w:r>
        <w:rPr>
          <w:rFonts w:ascii="Times New Roman" w:hAnsi="Times New Roman"/>
          <w:sz w:val="24"/>
          <w:lang w:val="en-GB"/>
        </w:rPr>
        <w:tab/>
        <w:t xml:space="preserve">ССВ- субсалицилат висмута 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Двухкомпонентная схема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Препарат</w:t>
      </w:r>
      <w:r>
        <w:rPr>
          <w:rFonts w:ascii="Times New Roman" w:hAnsi="Times New Roman"/>
          <w:sz w:val="24"/>
          <w:lang w:val="en-GB"/>
        </w:rPr>
        <w:tab/>
        <w:t>Суточная доза (мг)</w:t>
      </w:r>
      <w:r>
        <w:rPr>
          <w:rFonts w:ascii="Times New Roman" w:hAnsi="Times New Roman"/>
          <w:sz w:val="24"/>
          <w:lang w:val="en-GB"/>
        </w:rPr>
        <w:tab/>
        <w:t>Продолжите-льность (дни)</w:t>
      </w:r>
      <w:r>
        <w:rPr>
          <w:rFonts w:ascii="Times New Roman" w:hAnsi="Times New Roman"/>
          <w:sz w:val="24"/>
          <w:lang w:val="en-GB"/>
        </w:rPr>
        <w:tab/>
        <w:t>Уровень эрадикации (%)</w:t>
      </w:r>
      <w:r>
        <w:rPr>
          <w:rFonts w:ascii="Times New Roman" w:hAnsi="Times New Roman"/>
          <w:sz w:val="24"/>
          <w:lang w:val="en-GB"/>
        </w:rPr>
        <w:tab/>
        <w:t>Обобщен-ные данные (%)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Омепразол + Кларитромицин</w:t>
      </w:r>
      <w:r>
        <w:rPr>
          <w:rFonts w:ascii="Times New Roman" w:hAnsi="Times New Roman"/>
          <w:sz w:val="24"/>
          <w:lang w:val="en-GB"/>
        </w:rPr>
        <w:tab/>
        <w:t>20 -40 1000 -1500</w:t>
      </w:r>
      <w:r>
        <w:rPr>
          <w:rFonts w:ascii="Times New Roman" w:hAnsi="Times New Roman"/>
          <w:sz w:val="24"/>
          <w:lang w:val="en-GB"/>
        </w:rPr>
        <w:tab/>
        <w:t>14 - 28 14</w:t>
      </w:r>
      <w:r>
        <w:rPr>
          <w:rFonts w:ascii="Times New Roman" w:hAnsi="Times New Roman"/>
          <w:sz w:val="24"/>
          <w:lang w:val="en-GB"/>
        </w:rPr>
        <w:tab/>
        <w:t>27 - 88</w:t>
      </w:r>
      <w:r>
        <w:rPr>
          <w:rFonts w:ascii="Times New Roman" w:hAnsi="Times New Roman"/>
          <w:sz w:val="24"/>
          <w:lang w:val="en-GB"/>
        </w:rPr>
        <w:tab/>
        <w:t>66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Ранитидин + Кларитромицин</w:t>
      </w:r>
      <w:r>
        <w:rPr>
          <w:rFonts w:ascii="Times New Roman" w:hAnsi="Times New Roman"/>
          <w:sz w:val="24"/>
          <w:lang w:val="en-GB"/>
        </w:rPr>
        <w:tab/>
        <w:t>300 - 1200 1000 - 2000</w:t>
      </w:r>
      <w:r>
        <w:rPr>
          <w:rFonts w:ascii="Times New Roman" w:hAnsi="Times New Roman"/>
          <w:sz w:val="24"/>
          <w:lang w:val="en-GB"/>
        </w:rPr>
        <w:tab/>
        <w:t>12 - 14 12 - 14</w:t>
      </w:r>
      <w:r>
        <w:rPr>
          <w:rFonts w:ascii="Times New Roman" w:hAnsi="Times New Roman"/>
          <w:sz w:val="24"/>
          <w:lang w:val="en-GB"/>
        </w:rPr>
        <w:tab/>
        <w:t>50 - 84</w:t>
      </w:r>
      <w:r>
        <w:rPr>
          <w:rFonts w:ascii="Times New Roman" w:hAnsi="Times New Roman"/>
          <w:sz w:val="24"/>
          <w:lang w:val="en-GB"/>
        </w:rPr>
        <w:tab/>
        <w:t>70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Метронидазол + Амоксициллин</w:t>
      </w:r>
      <w:r>
        <w:rPr>
          <w:rFonts w:ascii="Times New Roman" w:hAnsi="Times New Roman"/>
          <w:sz w:val="24"/>
          <w:lang w:val="en-GB"/>
        </w:rPr>
        <w:tab/>
        <w:t>1000 - 2000 50 0 - 2000</w:t>
      </w:r>
      <w:r>
        <w:rPr>
          <w:rFonts w:ascii="Times New Roman" w:hAnsi="Times New Roman"/>
          <w:sz w:val="24"/>
          <w:lang w:val="en-GB"/>
        </w:rPr>
        <w:tab/>
        <w:t>5 - 30 7 - 30</w:t>
      </w:r>
      <w:r>
        <w:rPr>
          <w:rFonts w:ascii="Times New Roman" w:hAnsi="Times New Roman"/>
          <w:sz w:val="24"/>
          <w:lang w:val="en-GB"/>
        </w:rPr>
        <w:tab/>
        <w:t>56 - 80</w:t>
      </w:r>
      <w:r>
        <w:rPr>
          <w:rFonts w:ascii="Times New Roman" w:hAnsi="Times New Roman"/>
          <w:sz w:val="24"/>
          <w:lang w:val="en-GB"/>
        </w:rPr>
        <w:tab/>
        <w:t>68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КСВ + метронидазол</w:t>
      </w:r>
      <w:r>
        <w:rPr>
          <w:rFonts w:ascii="Times New Roman" w:hAnsi="Times New Roman"/>
          <w:sz w:val="24"/>
          <w:lang w:val="en-GB"/>
        </w:rPr>
        <w:tab/>
        <w:t>480 600 - 1500</w:t>
      </w:r>
      <w:r>
        <w:rPr>
          <w:rFonts w:ascii="Times New Roman" w:hAnsi="Times New Roman"/>
          <w:sz w:val="24"/>
          <w:lang w:val="en-GB"/>
        </w:rPr>
        <w:tab/>
        <w:t>7 - 56</w:t>
      </w:r>
      <w:r>
        <w:rPr>
          <w:rFonts w:ascii="Times New Roman" w:hAnsi="Times New Roman"/>
          <w:sz w:val="24"/>
          <w:lang w:val="en-GB"/>
        </w:rPr>
        <w:tab/>
        <w:t>38 - 91</w:t>
      </w:r>
      <w:r>
        <w:rPr>
          <w:rFonts w:ascii="Times New Roman" w:hAnsi="Times New Roman"/>
          <w:sz w:val="24"/>
          <w:lang w:val="en-GB"/>
        </w:rPr>
        <w:tab/>
        <w:t>68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Омепразол + амоксициллин</w:t>
      </w:r>
      <w:r>
        <w:rPr>
          <w:rFonts w:ascii="Times New Roman" w:hAnsi="Times New Roman"/>
          <w:sz w:val="24"/>
          <w:lang w:val="en-GB"/>
        </w:rPr>
        <w:tab/>
        <w:t>20 - 40 1500 - 2000</w:t>
      </w:r>
      <w:r>
        <w:rPr>
          <w:rFonts w:ascii="Times New Roman" w:hAnsi="Times New Roman"/>
          <w:sz w:val="24"/>
          <w:lang w:val="en-GB"/>
        </w:rPr>
        <w:tab/>
        <w:t>14 - 28 14</w:t>
      </w:r>
      <w:r>
        <w:rPr>
          <w:rFonts w:ascii="Times New Roman" w:hAnsi="Times New Roman"/>
          <w:sz w:val="24"/>
          <w:lang w:val="en-GB"/>
        </w:rPr>
        <w:tab/>
        <w:t>0 - 92</w:t>
      </w:r>
      <w:r>
        <w:rPr>
          <w:rFonts w:ascii="Times New Roman" w:hAnsi="Times New Roman"/>
          <w:sz w:val="24"/>
          <w:lang w:val="en-GB"/>
        </w:rPr>
        <w:tab/>
        <w:t>60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Ранитидин + амоксициллин</w:t>
      </w:r>
      <w:r>
        <w:rPr>
          <w:rFonts w:ascii="Times New Roman" w:hAnsi="Times New Roman"/>
          <w:sz w:val="24"/>
          <w:lang w:val="en-GB"/>
        </w:rPr>
        <w:tab/>
        <w:t>300 - 1200 2000</w:t>
      </w:r>
      <w:r>
        <w:rPr>
          <w:rFonts w:ascii="Times New Roman" w:hAnsi="Times New Roman"/>
          <w:sz w:val="24"/>
          <w:lang w:val="en-GB"/>
        </w:rPr>
        <w:tab/>
        <w:t>10 - 14 10 -14</w:t>
      </w:r>
      <w:r>
        <w:rPr>
          <w:rFonts w:ascii="Times New Roman" w:hAnsi="Times New Roman"/>
          <w:sz w:val="24"/>
          <w:lang w:val="en-GB"/>
        </w:rPr>
        <w:tab/>
        <w:t>32 - 65</w:t>
      </w:r>
      <w:r>
        <w:rPr>
          <w:rFonts w:ascii="Times New Roman" w:hAnsi="Times New Roman"/>
          <w:sz w:val="24"/>
          <w:lang w:val="en-GB"/>
        </w:rPr>
        <w:tab/>
        <w:t>57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Трехкомпонентная схема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Препарат</w:t>
      </w:r>
      <w:r>
        <w:rPr>
          <w:rFonts w:ascii="Times New Roman" w:hAnsi="Times New Roman"/>
          <w:sz w:val="24"/>
          <w:lang w:val="en-GB"/>
        </w:rPr>
        <w:tab/>
        <w:t>Суточная доза (мг)</w:t>
      </w:r>
      <w:r>
        <w:rPr>
          <w:rFonts w:ascii="Times New Roman" w:hAnsi="Times New Roman"/>
          <w:sz w:val="24"/>
          <w:lang w:val="en-GB"/>
        </w:rPr>
        <w:tab/>
        <w:t>Продолжите-льность (дни)</w:t>
      </w:r>
      <w:r>
        <w:rPr>
          <w:rFonts w:ascii="Times New Roman" w:hAnsi="Times New Roman"/>
          <w:sz w:val="24"/>
          <w:lang w:val="en-GB"/>
        </w:rPr>
        <w:tab/>
        <w:t>Уровень эрадика-ции (%)</w:t>
      </w:r>
      <w:r>
        <w:rPr>
          <w:rFonts w:ascii="Times New Roman" w:hAnsi="Times New Roman"/>
          <w:sz w:val="24"/>
          <w:lang w:val="en-GB"/>
        </w:rPr>
        <w:tab/>
        <w:t>Обобщен-ные данные (%)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Омепразол+ Кларитромицин + метронидазол </w:t>
      </w:r>
      <w:r>
        <w:rPr>
          <w:rFonts w:ascii="Times New Roman" w:hAnsi="Times New Roman"/>
          <w:sz w:val="24"/>
          <w:lang w:val="en-GB"/>
        </w:rPr>
        <w:tab/>
        <w:t>40 1000 -1200 500 -1000</w:t>
      </w:r>
      <w:r>
        <w:rPr>
          <w:rFonts w:ascii="Times New Roman" w:hAnsi="Times New Roman"/>
          <w:sz w:val="24"/>
          <w:lang w:val="en-GB"/>
        </w:rPr>
        <w:tab/>
        <w:t>14 - 28 7 - 14 7 - 14</w:t>
      </w:r>
      <w:r>
        <w:rPr>
          <w:rFonts w:ascii="Times New Roman" w:hAnsi="Times New Roman"/>
          <w:sz w:val="24"/>
          <w:lang w:val="en-GB"/>
        </w:rPr>
        <w:tab/>
        <w:t xml:space="preserve">86 - 92 </w:t>
      </w:r>
      <w:r>
        <w:rPr>
          <w:rFonts w:ascii="Times New Roman" w:hAnsi="Times New Roman"/>
          <w:sz w:val="24"/>
          <w:lang w:val="en-GB"/>
        </w:rPr>
        <w:tab/>
        <w:t>89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КСВ* + метронидазол + тетрациклин</w:t>
      </w:r>
      <w:r>
        <w:rPr>
          <w:rFonts w:ascii="Times New Roman" w:hAnsi="Times New Roman"/>
          <w:sz w:val="24"/>
          <w:lang w:val="en-GB"/>
        </w:rPr>
        <w:tab/>
        <w:t>480 600 - 1200</w:t>
      </w:r>
      <w:r>
        <w:rPr>
          <w:rFonts w:ascii="Times New Roman" w:hAnsi="Times New Roman"/>
          <w:sz w:val="24"/>
          <w:lang w:val="en-GB"/>
        </w:rPr>
        <w:tab/>
        <w:t>14 -28 7 - 14 7 - 14</w:t>
      </w:r>
      <w:r>
        <w:rPr>
          <w:rFonts w:ascii="Times New Roman" w:hAnsi="Times New Roman"/>
          <w:sz w:val="24"/>
          <w:lang w:val="en-GB"/>
        </w:rPr>
        <w:tab/>
        <w:t>40 -94</w:t>
      </w:r>
      <w:r>
        <w:rPr>
          <w:rFonts w:ascii="Times New Roman" w:hAnsi="Times New Roman"/>
          <w:sz w:val="24"/>
          <w:lang w:val="en-GB"/>
        </w:rPr>
        <w:tab/>
        <w:t>86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Омепразол + метронидазол + Амоксициллин</w:t>
      </w:r>
      <w:r>
        <w:rPr>
          <w:rFonts w:ascii="Times New Roman" w:hAnsi="Times New Roman"/>
          <w:sz w:val="24"/>
          <w:lang w:val="en-GB"/>
        </w:rPr>
        <w:tab/>
        <w:t>20 - 40 800 - 1500 1500 - 3000</w:t>
      </w:r>
      <w:r>
        <w:rPr>
          <w:rFonts w:ascii="Times New Roman" w:hAnsi="Times New Roman"/>
          <w:sz w:val="24"/>
          <w:lang w:val="en-GB"/>
        </w:rPr>
        <w:tab/>
        <w:t>14 - 28 7 - 15 7 - 15</w:t>
      </w:r>
      <w:r>
        <w:rPr>
          <w:rFonts w:ascii="Times New Roman" w:hAnsi="Times New Roman"/>
          <w:sz w:val="24"/>
          <w:lang w:val="en-GB"/>
        </w:rPr>
        <w:tab/>
        <w:t>43 - 95</w:t>
      </w:r>
      <w:r>
        <w:rPr>
          <w:rFonts w:ascii="Times New Roman" w:hAnsi="Times New Roman"/>
          <w:sz w:val="24"/>
          <w:lang w:val="en-GB"/>
        </w:rPr>
        <w:tab/>
        <w:t>77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Ранитидин + метронидазол + Амоксициллин</w:t>
      </w:r>
      <w:r>
        <w:rPr>
          <w:rFonts w:ascii="Times New Roman" w:hAnsi="Times New Roman"/>
          <w:sz w:val="24"/>
          <w:lang w:val="en-GB"/>
        </w:rPr>
        <w:tab/>
        <w:t>300 - 1200 100 - 1500 1500 - 2250</w:t>
      </w:r>
      <w:r>
        <w:rPr>
          <w:rFonts w:ascii="Times New Roman" w:hAnsi="Times New Roman"/>
          <w:sz w:val="24"/>
          <w:lang w:val="en-GB"/>
        </w:rPr>
        <w:tab/>
        <w:t>21 - 42 12 - 14 12 - 14</w:t>
      </w:r>
      <w:r>
        <w:rPr>
          <w:rFonts w:ascii="Times New Roman" w:hAnsi="Times New Roman"/>
          <w:sz w:val="24"/>
          <w:lang w:val="en-GB"/>
        </w:rPr>
        <w:tab/>
        <w:t>44 - 88</w:t>
      </w:r>
      <w:r>
        <w:rPr>
          <w:rFonts w:ascii="Times New Roman" w:hAnsi="Times New Roman"/>
          <w:sz w:val="24"/>
          <w:lang w:val="en-GB"/>
        </w:rPr>
        <w:tab/>
        <w:t>78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КСВ + метронидазол + Амоксициллин</w:t>
      </w:r>
      <w:r>
        <w:rPr>
          <w:rFonts w:ascii="Times New Roman" w:hAnsi="Times New Roman"/>
          <w:sz w:val="24"/>
          <w:lang w:val="en-GB"/>
        </w:rPr>
        <w:tab/>
        <w:t>480 750 - 2000 1500 - 2250</w:t>
      </w:r>
      <w:r>
        <w:rPr>
          <w:rFonts w:ascii="Times New Roman" w:hAnsi="Times New Roman"/>
          <w:sz w:val="24"/>
          <w:lang w:val="en-GB"/>
        </w:rPr>
        <w:tab/>
        <w:t>14 - 28 7 - 14 7 - 15</w:t>
      </w:r>
      <w:r>
        <w:rPr>
          <w:rFonts w:ascii="Times New Roman" w:hAnsi="Times New Roman"/>
          <w:sz w:val="24"/>
          <w:lang w:val="en-GB"/>
        </w:rPr>
        <w:tab/>
        <w:t>43 - 95</w:t>
      </w:r>
      <w:r>
        <w:rPr>
          <w:rFonts w:ascii="Times New Roman" w:hAnsi="Times New Roman"/>
          <w:sz w:val="24"/>
          <w:lang w:val="en-GB"/>
        </w:rPr>
        <w:tab/>
        <w:t>77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КСВ + тинидазол + амоксициллин</w:t>
      </w:r>
      <w:r>
        <w:rPr>
          <w:rFonts w:ascii="Times New Roman" w:hAnsi="Times New Roman"/>
          <w:sz w:val="24"/>
          <w:lang w:val="en-GB"/>
        </w:rPr>
        <w:tab/>
        <w:t>480  1000 1000 - 3000</w:t>
      </w:r>
      <w:r>
        <w:rPr>
          <w:rFonts w:ascii="Times New Roman" w:hAnsi="Times New Roman"/>
          <w:sz w:val="24"/>
          <w:lang w:val="en-GB"/>
        </w:rPr>
        <w:tab/>
        <w:t>10 - 28 7 - 13 7 - 13</w:t>
      </w:r>
      <w:r>
        <w:rPr>
          <w:rFonts w:ascii="Times New Roman" w:hAnsi="Times New Roman"/>
          <w:sz w:val="24"/>
          <w:lang w:val="en-GB"/>
        </w:rPr>
        <w:tab/>
        <w:t>59 - 83</w:t>
      </w:r>
      <w:r>
        <w:rPr>
          <w:rFonts w:ascii="Times New Roman" w:hAnsi="Times New Roman"/>
          <w:sz w:val="24"/>
          <w:lang w:val="en-GB"/>
        </w:rPr>
        <w:tab/>
        <w:t>70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Однонедельная трехкомпонентная схема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омепразол + амоксициллин + кларитромицин </w:t>
      </w:r>
      <w:r>
        <w:rPr>
          <w:rFonts w:ascii="Times New Roman" w:hAnsi="Times New Roman"/>
          <w:sz w:val="24"/>
          <w:lang w:val="en-GB"/>
        </w:rPr>
        <w:tab/>
        <w:t>20 - 40 1500 - 2000 500 - 1000</w:t>
      </w:r>
      <w:r>
        <w:rPr>
          <w:rFonts w:ascii="Times New Roman" w:hAnsi="Times New Roman"/>
          <w:sz w:val="24"/>
          <w:lang w:val="en-GB"/>
        </w:rPr>
        <w:tab/>
        <w:t>7</w:t>
      </w:r>
      <w:r>
        <w:rPr>
          <w:rFonts w:ascii="Times New Roman" w:hAnsi="Times New Roman"/>
          <w:sz w:val="24"/>
          <w:lang w:val="en-GB"/>
        </w:rPr>
        <w:tab/>
        <w:t>76 - 100</w:t>
      </w:r>
      <w:r>
        <w:rPr>
          <w:rFonts w:ascii="Times New Roman" w:hAnsi="Times New Roman"/>
          <w:sz w:val="24"/>
          <w:lang w:val="en-GB"/>
        </w:rPr>
        <w:tab/>
        <w:t>89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Омепразол + метронидазол+ кларитромицин</w:t>
      </w:r>
      <w:r>
        <w:rPr>
          <w:rFonts w:ascii="Times New Roman" w:hAnsi="Times New Roman"/>
          <w:sz w:val="24"/>
          <w:lang w:val="en-GB"/>
        </w:rPr>
        <w:tab/>
        <w:t>20 - 40 800 500 - 1000</w:t>
      </w:r>
      <w:r>
        <w:rPr>
          <w:rFonts w:ascii="Times New Roman" w:hAnsi="Times New Roman"/>
          <w:sz w:val="24"/>
          <w:lang w:val="en-GB"/>
        </w:rPr>
        <w:tab/>
        <w:t>7</w:t>
      </w:r>
      <w:r>
        <w:rPr>
          <w:rFonts w:ascii="Times New Roman" w:hAnsi="Times New Roman"/>
          <w:sz w:val="24"/>
          <w:lang w:val="en-GB"/>
        </w:rPr>
        <w:tab/>
        <w:t>79 - 96</w:t>
      </w:r>
      <w:r>
        <w:rPr>
          <w:rFonts w:ascii="Times New Roman" w:hAnsi="Times New Roman"/>
          <w:sz w:val="24"/>
          <w:lang w:val="en-GB"/>
        </w:rPr>
        <w:tab/>
        <w:t>89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КСВ + метронидазол + тетрациклин</w:t>
      </w:r>
      <w:r>
        <w:rPr>
          <w:rFonts w:ascii="Times New Roman" w:hAnsi="Times New Roman"/>
          <w:sz w:val="24"/>
          <w:lang w:val="en-GB"/>
        </w:rPr>
        <w:tab/>
        <w:t>480 1200 - 1600 1000 - 2000</w:t>
      </w:r>
      <w:r>
        <w:rPr>
          <w:rFonts w:ascii="Times New Roman" w:hAnsi="Times New Roman"/>
          <w:sz w:val="24"/>
          <w:lang w:val="en-GB"/>
        </w:rPr>
        <w:tab/>
        <w:t>7</w:t>
      </w:r>
      <w:r>
        <w:rPr>
          <w:rFonts w:ascii="Times New Roman" w:hAnsi="Times New Roman"/>
          <w:sz w:val="24"/>
          <w:lang w:val="en-GB"/>
        </w:rPr>
        <w:tab/>
        <w:t>71 - 94</w:t>
      </w:r>
      <w:r>
        <w:rPr>
          <w:rFonts w:ascii="Times New Roman" w:hAnsi="Times New Roman"/>
          <w:sz w:val="24"/>
          <w:lang w:val="en-GB"/>
        </w:rPr>
        <w:tab/>
        <w:t>86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Омепразол + метронидазол + амоксициллин</w:t>
      </w:r>
      <w:r>
        <w:rPr>
          <w:rFonts w:ascii="Times New Roman" w:hAnsi="Times New Roman"/>
          <w:sz w:val="24"/>
          <w:lang w:val="en-GB"/>
        </w:rPr>
        <w:tab/>
        <w:t xml:space="preserve">40 800 - 1200 1500 - 2000 </w:t>
      </w:r>
      <w:r>
        <w:rPr>
          <w:rFonts w:ascii="Times New Roman" w:hAnsi="Times New Roman"/>
          <w:sz w:val="24"/>
          <w:lang w:val="en-GB"/>
        </w:rPr>
        <w:tab/>
        <w:t>7</w:t>
      </w:r>
      <w:r>
        <w:rPr>
          <w:rFonts w:ascii="Times New Roman" w:hAnsi="Times New Roman"/>
          <w:sz w:val="24"/>
          <w:lang w:val="en-GB"/>
        </w:rPr>
        <w:tab/>
        <w:t>78 - 91</w:t>
      </w:r>
      <w:r>
        <w:rPr>
          <w:rFonts w:ascii="Times New Roman" w:hAnsi="Times New Roman"/>
          <w:sz w:val="24"/>
          <w:lang w:val="en-GB"/>
        </w:rPr>
        <w:tab/>
        <w:t>83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КСВ + Омепразол + кларитромицин</w:t>
      </w:r>
      <w:r>
        <w:rPr>
          <w:rFonts w:ascii="Times New Roman" w:hAnsi="Times New Roman"/>
          <w:sz w:val="24"/>
          <w:lang w:val="en-GB"/>
        </w:rPr>
        <w:tab/>
        <w:t>480 20 - 40 500 - 1500</w:t>
      </w:r>
      <w:r>
        <w:rPr>
          <w:rFonts w:ascii="Times New Roman" w:hAnsi="Times New Roman"/>
          <w:sz w:val="24"/>
          <w:lang w:val="en-GB"/>
        </w:rPr>
        <w:tab/>
        <w:t>7</w:t>
      </w:r>
      <w:r>
        <w:rPr>
          <w:rFonts w:ascii="Times New Roman" w:hAnsi="Times New Roman"/>
          <w:sz w:val="24"/>
          <w:lang w:val="en-GB"/>
        </w:rPr>
        <w:tab/>
        <w:t>40 - 92</w:t>
      </w:r>
      <w:r>
        <w:rPr>
          <w:rFonts w:ascii="Times New Roman" w:hAnsi="Times New Roman"/>
          <w:sz w:val="24"/>
          <w:lang w:val="en-GB"/>
        </w:rPr>
        <w:tab/>
        <w:t>77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Омепразол + тинидазол+ Кларитромицин</w:t>
      </w:r>
      <w:r>
        <w:rPr>
          <w:rFonts w:ascii="Times New Roman" w:hAnsi="Times New Roman"/>
          <w:sz w:val="24"/>
          <w:lang w:val="en-GB"/>
        </w:rPr>
        <w:tab/>
        <w:t>20 - 40 1000 500 - 1000</w:t>
      </w:r>
      <w:r>
        <w:rPr>
          <w:rFonts w:ascii="Times New Roman" w:hAnsi="Times New Roman"/>
          <w:sz w:val="24"/>
          <w:lang w:val="en-GB"/>
        </w:rPr>
        <w:tab/>
        <w:t>7</w:t>
      </w:r>
      <w:r>
        <w:rPr>
          <w:rFonts w:ascii="Times New Roman" w:hAnsi="Times New Roman"/>
          <w:sz w:val="24"/>
          <w:lang w:val="en-GB"/>
        </w:rPr>
        <w:tab/>
        <w:t>50 - 95</w:t>
      </w:r>
      <w:r>
        <w:rPr>
          <w:rFonts w:ascii="Times New Roman" w:hAnsi="Times New Roman"/>
          <w:sz w:val="24"/>
          <w:lang w:val="en-GB"/>
        </w:rPr>
        <w:tab/>
        <w:t>76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Какова эффективность комбинации Пилорид + кларитромицин?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Препарат</w:t>
      </w:r>
      <w:r>
        <w:rPr>
          <w:rFonts w:ascii="Times New Roman" w:hAnsi="Times New Roman"/>
          <w:sz w:val="24"/>
          <w:lang w:val="en-GB"/>
        </w:rPr>
        <w:tab/>
        <w:t>суточная доза (мг)</w:t>
      </w:r>
      <w:r>
        <w:rPr>
          <w:rFonts w:ascii="Times New Roman" w:hAnsi="Times New Roman"/>
          <w:sz w:val="24"/>
          <w:lang w:val="en-GB"/>
        </w:rPr>
        <w:tab/>
        <w:t>продолжите-льность (дни)</w:t>
      </w:r>
      <w:r>
        <w:rPr>
          <w:rFonts w:ascii="Times New Roman" w:hAnsi="Times New Roman"/>
          <w:sz w:val="24"/>
          <w:lang w:val="en-GB"/>
        </w:rPr>
        <w:tab/>
        <w:t>Уровень эрадикации (%)</w:t>
      </w:r>
      <w:r>
        <w:rPr>
          <w:rFonts w:ascii="Times New Roman" w:hAnsi="Times New Roman"/>
          <w:sz w:val="24"/>
          <w:lang w:val="en-GB"/>
        </w:rPr>
        <w:tab/>
        <w:t>Обобщен-ные данные (%)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ПИЛОРИД +  кларитромицин</w:t>
      </w:r>
      <w:r>
        <w:rPr>
          <w:rFonts w:ascii="Times New Roman" w:hAnsi="Times New Roman"/>
          <w:sz w:val="24"/>
          <w:lang w:val="en-GB"/>
        </w:rPr>
        <w:tab/>
        <w:t>800 1000 - 1500</w:t>
      </w:r>
      <w:r>
        <w:rPr>
          <w:rFonts w:ascii="Times New Roman" w:hAnsi="Times New Roman"/>
          <w:sz w:val="24"/>
          <w:lang w:val="en-GB"/>
        </w:rPr>
        <w:tab/>
        <w:t>14 - 28 14</w:t>
      </w:r>
      <w:r>
        <w:rPr>
          <w:rFonts w:ascii="Times New Roman" w:hAnsi="Times New Roman"/>
          <w:sz w:val="24"/>
          <w:lang w:val="en-GB"/>
        </w:rPr>
        <w:tab/>
        <w:t>82 - 96</w:t>
      </w:r>
      <w:r>
        <w:rPr>
          <w:rFonts w:ascii="Times New Roman" w:hAnsi="Times New Roman"/>
          <w:sz w:val="24"/>
          <w:lang w:val="en-GB"/>
        </w:rPr>
        <w:tab/>
        <w:t>90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Какова эффективность комбинации Пилорида с другими антибиотиками?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Препарат</w:t>
      </w:r>
      <w:r>
        <w:rPr>
          <w:rFonts w:ascii="Times New Roman" w:hAnsi="Times New Roman"/>
          <w:sz w:val="24"/>
          <w:lang w:val="en-GB"/>
        </w:rPr>
        <w:tab/>
        <w:t>суточная доза (мг)</w:t>
      </w:r>
      <w:r>
        <w:rPr>
          <w:rFonts w:ascii="Times New Roman" w:hAnsi="Times New Roman"/>
          <w:sz w:val="24"/>
          <w:lang w:val="en-GB"/>
        </w:rPr>
        <w:tab/>
        <w:t>продолжите-льность (дни)</w:t>
      </w:r>
      <w:r>
        <w:rPr>
          <w:rFonts w:ascii="Times New Roman" w:hAnsi="Times New Roman"/>
          <w:sz w:val="24"/>
          <w:lang w:val="en-GB"/>
        </w:rPr>
        <w:tab/>
        <w:t>Уровень эрадикации (%)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Пилорид + кларитромицин + амоксициллин</w:t>
      </w:r>
      <w:r>
        <w:rPr>
          <w:rFonts w:ascii="Times New Roman" w:hAnsi="Times New Roman"/>
          <w:sz w:val="24"/>
          <w:lang w:val="en-GB"/>
        </w:rPr>
        <w:tab/>
        <w:t>800 1000 -1500 1500 - 2000</w:t>
      </w:r>
      <w:r>
        <w:rPr>
          <w:rFonts w:ascii="Times New Roman" w:hAnsi="Times New Roman"/>
          <w:sz w:val="24"/>
          <w:lang w:val="en-GB"/>
        </w:rPr>
        <w:tab/>
        <w:t>7 - 14</w:t>
      </w:r>
      <w:r>
        <w:rPr>
          <w:rFonts w:ascii="Times New Roman" w:hAnsi="Times New Roman"/>
          <w:sz w:val="24"/>
          <w:lang w:val="en-GB"/>
        </w:rPr>
        <w:tab/>
        <w:t>96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Пилорид + тетрациклин + метронидазол</w:t>
      </w:r>
      <w:r>
        <w:rPr>
          <w:rFonts w:ascii="Times New Roman" w:hAnsi="Times New Roman"/>
          <w:sz w:val="24"/>
          <w:lang w:val="en-GB"/>
        </w:rPr>
        <w:tab/>
        <w:t>800 1000 1000 - 1200</w:t>
      </w:r>
      <w:r>
        <w:rPr>
          <w:rFonts w:ascii="Times New Roman" w:hAnsi="Times New Roman"/>
          <w:sz w:val="24"/>
          <w:lang w:val="en-GB"/>
        </w:rPr>
        <w:tab/>
        <w:t>7 - 14</w:t>
      </w:r>
      <w:r>
        <w:rPr>
          <w:rFonts w:ascii="Times New Roman" w:hAnsi="Times New Roman"/>
          <w:sz w:val="24"/>
          <w:lang w:val="en-GB"/>
        </w:rPr>
        <w:tab/>
        <w:t>88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Пилорид + кларитромицин    + метронидазол</w:t>
      </w:r>
      <w:r>
        <w:rPr>
          <w:rFonts w:ascii="Times New Roman" w:hAnsi="Times New Roman"/>
          <w:sz w:val="24"/>
          <w:lang w:val="en-GB"/>
        </w:rPr>
        <w:tab/>
        <w:t>800 500 1000</w:t>
      </w:r>
      <w:r>
        <w:rPr>
          <w:rFonts w:ascii="Times New Roman" w:hAnsi="Times New Roman"/>
          <w:sz w:val="24"/>
          <w:lang w:val="en-GB"/>
        </w:rPr>
        <w:tab/>
        <w:t>7</w:t>
      </w:r>
      <w:r>
        <w:rPr>
          <w:rFonts w:ascii="Times New Roman" w:hAnsi="Times New Roman"/>
          <w:sz w:val="24"/>
          <w:lang w:val="en-GB"/>
        </w:rPr>
        <w:tab/>
        <w:t>86</w:t>
      </w:r>
      <w:r>
        <w:rPr>
          <w:rFonts w:ascii="Times New Roman" w:hAnsi="Times New Roman"/>
          <w:sz w:val="24"/>
          <w:lang w:val="en-GB"/>
        </w:rPr>
        <w:tab/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i/>
          <w:sz w:val="24"/>
          <w:lang w:val="en-GB"/>
        </w:rPr>
        <w:t>ВЛИЯНИЕ НА ЯЗВЕННЫЙ ПРОЦЕСС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Учитывая, что большинство публикаций посвящены Hр, следует напомнить, что эрадикационная терапия должна быть направлена не только на уничтожение возбудителя, но и на заживление язвы и купирование связанных с ней симптомов. Поэтому рекомендуют продолжать антисекретоную терапию в течение 4 недель при язве двенадцатиперстной кишки и в течение 8 недель при язве желудка.</w:t>
      </w: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</w:p>
    <w:p w:rsidR="00783427" w:rsidRDefault="00783427" w:rsidP="00AD37DC">
      <w:pPr>
        <w:numPr>
          <w:ilvl w:val="12"/>
          <w:numId w:val="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Идеальной эрадикационной терапией можно считать терапию, отвечающую следующим требованиям: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Постоянно высокий уровень эрадикации Hр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Простой режим приема (удобство)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Низкая частота побочных эффектов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Экономичность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Минимальное влияние резистентных штаммов на частоту эрадикации</w:t>
      </w:r>
    </w:p>
    <w:p w:rsidR="00783427" w:rsidRDefault="00783427" w:rsidP="00AD37DC">
      <w:pPr>
        <w:numPr>
          <w:ilvl w:val="0"/>
          <w:numId w:val="1"/>
        </w:numPr>
        <w:ind w:left="283" w:hanging="283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Эффективное воздействие на язвенный процесс.</w:t>
      </w:r>
    </w:p>
    <w:p w:rsidR="00783427" w:rsidRDefault="00783427">
      <w:pPr>
        <w:rPr>
          <w:rFonts w:ascii="Times New Roman" w:hAnsi="Times New Roman"/>
          <w:sz w:val="24"/>
          <w:lang w:val="en-GB"/>
        </w:rPr>
      </w:pPr>
    </w:p>
    <w:p w:rsidR="00783427" w:rsidRDefault="00783427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Считается, что эрадикационная терапия переместит короткие или длительные курсы антисекреторных препаратов с позиции предпочтительной терапии у большинства пациентов с язвенной болезнью. У врачей накапливается опыт использования эрадикационной терапии, все чаще лечение назначают эмпирически (без лабораторного подтверждения диагноза). Быстро повышается потребность в препаратах, которые не только обладают высокой активностью в отношение Hр, но и удобны для приема, быстро купируют симптомы, имея при этом незначительные побочные эффекты. Нет сомнений в том, что ПИЛОРИД займет достойное место в лечении заболеваний ЖКТ, связанных с Нр-инфекцией.</w:t>
      </w:r>
    </w:p>
    <w:p w:rsidR="00783427" w:rsidRDefault="00783427">
      <w:pPr>
        <w:rPr>
          <w:rFonts w:ascii="Times New Roman" w:hAnsi="Times New Roman"/>
          <w:sz w:val="24"/>
          <w:lang w:val="en-GB"/>
        </w:rPr>
      </w:pPr>
      <w:bookmarkStart w:id="0" w:name="_GoBack"/>
      <w:bookmarkEnd w:id="0"/>
    </w:p>
    <w:sectPr w:rsidR="00783427"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T Symbol">
    <w:altName w:val="Symbol"/>
    <w:panose1 w:val="00000000000000000000"/>
    <w:charset w:val="02"/>
    <w:family w:val="auto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8F694D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MT Symbol" w:hAnsi="MT 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427"/>
    <w:rsid w:val="00783427"/>
    <w:rsid w:val="00AD37DC"/>
    <w:rsid w:val="00B3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D786D-C1B6-4753-8A27-3059FA92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6345</Words>
  <Characters>36170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ИНФЕКЦИЯ HELICOBACTER PYLORI (HP)</vt:lpstr>
    </vt:vector>
  </TitlesOfParts>
  <Company>Microsoft</Company>
  <LinksUpToDate>false</LinksUpToDate>
  <CharactersWithSpaces>42431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ИНФЕКЦИЯ HELICOBACTER PYLORI (HP)</dc:title>
  <dc:subject/>
  <dc:creator>Гвоздицин Александр свет Геннадьевич</dc:creator>
  <cp:keywords/>
  <cp:lastModifiedBy>admin</cp:lastModifiedBy>
  <cp:revision>2</cp:revision>
  <dcterms:created xsi:type="dcterms:W3CDTF">2014-05-07T03:58:00Z</dcterms:created>
  <dcterms:modified xsi:type="dcterms:W3CDTF">2014-05-07T03:58:00Z</dcterms:modified>
</cp:coreProperties>
</file>