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C06E9" w:rsidRDefault="000C06E9">
      <w:pPr>
        <w:pStyle w:val="a7"/>
      </w:pPr>
      <w:r>
        <w:t>Мир прокариот: архебактерии</w:t>
      </w:r>
    </w:p>
    <w:p w:rsidR="000C06E9" w:rsidRDefault="000C06E9"/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времени открытия архебактерий в 1977 г. количество относящихся к ним организмов и объем знаний о последних возрастают стремительно. К архебактериям относят 5 групп прокариотных организмов. Две из них — метанобразующие бактерии и экстремальные галофилы — известны давно. Более 10 лет известны и представители двух других групп: термоацидофильные серные аэробные бактерии и микоплазмоподобная форма </w:t>
      </w:r>
      <w:r>
        <w:rPr>
          <w:rFonts w:ascii="Times New Roman" w:hAnsi="Times New Roman" w:cs="Times New Roman"/>
          <w:i/>
          <w:iCs/>
        </w:rPr>
        <w:t>Thermoplasma acidophilum</w:t>
      </w:r>
      <w:r>
        <w:rPr>
          <w:rFonts w:ascii="Times New Roman" w:hAnsi="Times New Roman" w:cs="Times New Roman"/>
        </w:rPr>
        <w:t>. Последняя группа, обнаруженная в начале 80-х гг., — анаэробные формы, метаболизм которых связан с молекулярной серой.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сравнению с эубактериями число известных архебактерий мало, поэтому при описании мира прокариот во II разделе внимание было сосредоточено на эубактериях. Настоящий раздел посвящен общей характеристике (</w:t>
      </w:r>
      <w:r w:rsidRPr="001F7848">
        <w:rPr>
          <w:rFonts w:ascii="Times New Roman" w:hAnsi="Times New Roman" w:cs="Times New Roman"/>
          <w:shd w:val="clear" w:color="auto" w:fill="DDFFFF"/>
        </w:rPr>
        <w:t>гл. 17</w:t>
      </w:r>
      <w:r>
        <w:rPr>
          <w:rFonts w:ascii="Times New Roman" w:hAnsi="Times New Roman" w:cs="Times New Roman"/>
        </w:rPr>
        <w:t>) и отдельным группам (</w:t>
      </w:r>
      <w:r w:rsidRPr="001F7848">
        <w:rPr>
          <w:rFonts w:ascii="Times New Roman" w:hAnsi="Times New Roman" w:cs="Times New Roman"/>
          <w:shd w:val="clear" w:color="auto" w:fill="DDFFFF"/>
        </w:rPr>
        <w:t>гл. 18</w:t>
      </w:r>
      <w:r>
        <w:rPr>
          <w:rFonts w:ascii="Times New Roman" w:hAnsi="Times New Roman" w:cs="Times New Roman"/>
        </w:rPr>
        <w:t>) архебактерий.</w:t>
      </w:r>
    </w:p>
    <w:p w:rsidR="000C06E9" w:rsidRDefault="000C06E9">
      <w:pPr>
        <w:pStyle w:val="chap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17. АРХЕБАКТЕРИИ: ОБЩАЯ ХАРАКТЕРИСТИКА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клеток архебактерий в целом сходны с таковыми эубактерий (см. </w:t>
      </w:r>
      <w:r w:rsidRPr="001F7848">
        <w:rPr>
          <w:rFonts w:ascii="Times New Roman" w:hAnsi="Times New Roman" w:cs="Times New Roman"/>
          <w:shd w:val="clear" w:color="auto" w:fill="DDFFFF"/>
        </w:rPr>
        <w:t>рис. 3</w:t>
      </w:r>
      <w:r>
        <w:rPr>
          <w:rFonts w:ascii="Times New Roman" w:hAnsi="Times New Roman" w:cs="Times New Roman"/>
        </w:rPr>
        <w:t>). Среди них есть кокки, палочки, извитые клетки и виды, характеризующиеся слабым ветвлением. Особенность архебактерий — отсутствие сложных многоклеточных форм, мицелиальных и трихомных, достаточно хорошо представленных у грамположительных и грамотрицательных эубактерий.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тонкому строению клетки, выявляемому с помощью электронного микроскопа, архебактерии принципиально не отличаются от эубактерий и ближе к грамположительной их ветви. Прокариотная организация архебактерий проявляется в отсутствии у них ядра и характерных для эукариот органелл, окруженных мембраной. Хромосомная ДНК организована в виде нуклеоида, т. е. расположена непосредственно в цитоплазме и имеет вид электроннопрозрачной зоны, заполненной нитями ДНК.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внешней среды клетки отделены клеточной стенкой (исключение составляет </w:t>
      </w:r>
      <w:r>
        <w:rPr>
          <w:rFonts w:ascii="Times New Roman" w:hAnsi="Times New Roman" w:cs="Times New Roman"/>
          <w:i/>
          <w:iCs/>
        </w:rPr>
        <w:t>Thermoplasma acidophilum</w:t>
      </w:r>
      <w:r>
        <w:rPr>
          <w:rFonts w:ascii="Times New Roman" w:hAnsi="Times New Roman" w:cs="Times New Roman"/>
        </w:rPr>
        <w:t>). У одних видов она выглядит как толстый гомогенный слой, у других — тонкий, структурированный. У некоторых нитчатых форм поверх клеточной стенки расположен чехол, объединяющий несколько клеток. Многие виды имеют жгутики и ворсинки эубактериального типа. В цитоплазме некоторых архебактерий обнаружены газовые вакуоли и запасное вещество гликоген, присущие многим эубактериям.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архебактерий описаны разные способы размножения: равновеликое бинарное деление, почкование, фрагментация. Все они имеются и у эубактерий.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Хотя клетки архебактерий структурно относятся к прокариотному типу, многие макромолекулы, входящие в их состав (липиды, полисахариды, белки), уникальны и 'не 'найдены ни у эубактерий, ни у эукариот. Одно из существенных отличий архебактерий связано с химическим составом клеточных стенок, в которых не обнаружен характерный для эубактерий пептидогликан (см. </w:t>
      </w:r>
      <w:r w:rsidRPr="001F7848">
        <w:rPr>
          <w:rFonts w:ascii="Times New Roman" w:hAnsi="Times New Roman" w:cs="Times New Roman"/>
          <w:shd w:val="clear" w:color="auto" w:fill="DDFFFF"/>
        </w:rPr>
        <w:t>рис. 6</w:t>
      </w:r>
      <w:r>
        <w:rPr>
          <w:rFonts w:ascii="Times New Roman" w:hAnsi="Times New Roman" w:cs="Times New Roman"/>
        </w:rPr>
        <w:t xml:space="preserve">). В составе последнего в качестве обязательного компонента присутствует 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-ацетилмурамовая кислота. Отсюда и часто употребляющееся его название муреин</w:t>
      </w:r>
      <w:r>
        <w:rPr>
          <w:rFonts w:ascii="Times New Roman" w:hAnsi="Times New Roman" w:cs="Times New Roman"/>
          <w:vertAlign w:val="superscript"/>
        </w:rPr>
        <w:t>69</w:t>
      </w:r>
      <w:r>
        <w:rPr>
          <w:rFonts w:ascii="Times New Roman" w:hAnsi="Times New Roman" w:cs="Times New Roman"/>
        </w:rPr>
        <w:t>. Вместо него у ряда архебактерий из группы метанобразующих найден другой пептидогликан, получивший название псевдомуреина (</w:t>
      </w:r>
      <w:r w:rsidRPr="001F7848">
        <w:rPr>
          <w:rFonts w:ascii="Times New Roman" w:hAnsi="Times New Roman" w:cs="Times New Roman"/>
          <w:shd w:val="clear" w:color="auto" w:fill="DDFFFF"/>
        </w:rPr>
        <w:t>рис. 101</w:t>
      </w:r>
      <w:r>
        <w:rPr>
          <w:rFonts w:ascii="Times New Roman" w:hAnsi="Times New Roman" w:cs="Times New Roman"/>
        </w:rPr>
        <w:t xml:space="preserve">). Его гликановый остов построен из 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-ацетилглюкозамина и 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-ацетилталозаминуроновой кислоты, а пептидные фрагменты — только из L-аминокислот. Последовательность аминокислот пептидного хвоста псевдомуреина отличается от таковой эубактериального .пептидогликана. Кроме того, аминосахара гликановой цепи псевдомуреина соединены не с помощью </w:t>
      </w:r>
      <w:r>
        <w:rPr>
          <w:rStyle w:val="symbol1"/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-1,4-, а через (</w:t>
      </w:r>
      <w:r>
        <w:rPr>
          <w:rStyle w:val="symbol1"/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-1,3-гликозидные связи. Отсутствие у архебактерий муреина привело к их устойчивости к пенициллину и некоторым другим антибиотикам, ингибирующим синтез пептидогликана эубактерий. Под электронным микроскопом клеточные стенки такого типа, окрашивающиеся положительно по Граму, выглядят как однородный слой толщиной 15 — 40 нм, ничем морфологически не отличающийся от клеточной стенки грамположительных эубактерий.</w:t>
      </w:r>
    </w:p>
    <w:p w:rsidR="000C06E9" w:rsidRDefault="000C06E9">
      <w:pPr>
        <w:pStyle w:val="footno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От лат. murus — стенка.</w:t>
      </w:r>
    </w:p>
    <w:tbl>
      <w:tblPr>
        <w:tblW w:w="3045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35"/>
      </w:tblGrid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1250CD">
            <w:pPr>
              <w:jc w:val="center"/>
              <w:rPr>
                <w:color w:val="333366"/>
              </w:rPr>
            </w:pPr>
            <w:bookmarkStart w:id="0" w:name="101"/>
            <w:bookmarkEnd w:id="0"/>
            <w:r>
              <w:rPr>
                <w:color w:val="33336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85.25pt">
                  <v:imagedata r:id="rId5" o:title="fig101"/>
                </v:shape>
              </w:pict>
            </w:r>
          </w:p>
        </w:tc>
      </w:tr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 xml:space="preserve">Рис. 101. Структура псевдомуреина архебактерий: </w:t>
            </w:r>
            <w:r w:rsidRPr="000C06E9">
              <w:rPr>
                <w:i/>
                <w:iCs/>
                <w:color w:val="333366"/>
              </w:rPr>
              <w:t>Г — N</w:t>
            </w:r>
            <w:r w:rsidRPr="000C06E9">
              <w:rPr>
                <w:color w:val="333366"/>
              </w:rPr>
              <w:t xml:space="preserve">-ацетилглюкозамин; </w:t>
            </w:r>
            <w:r w:rsidRPr="000C06E9">
              <w:rPr>
                <w:i/>
                <w:iCs/>
                <w:color w:val="333366"/>
              </w:rPr>
              <w:t>Т — N</w:t>
            </w:r>
            <w:r w:rsidRPr="000C06E9">
              <w:rPr>
                <w:color w:val="333366"/>
              </w:rPr>
              <w:t xml:space="preserve">-ацетилталозаминуроновая кислота; </w:t>
            </w:r>
            <w:r w:rsidRPr="000C06E9">
              <w:rPr>
                <w:i/>
                <w:iCs/>
                <w:color w:val="333366"/>
              </w:rPr>
              <w:t>глу —</w:t>
            </w:r>
            <w:r w:rsidRPr="000C06E9">
              <w:rPr>
                <w:color w:val="333366"/>
              </w:rPr>
              <w:t xml:space="preserve"> глутаминовая кислота; </w:t>
            </w:r>
            <w:r w:rsidRPr="000C06E9">
              <w:rPr>
                <w:i/>
                <w:iCs/>
                <w:color w:val="333366"/>
              </w:rPr>
              <w:t>ала —</w:t>
            </w:r>
            <w:r w:rsidRPr="000C06E9">
              <w:rPr>
                <w:color w:val="333366"/>
              </w:rPr>
              <w:t xml:space="preserve"> аланин; </w:t>
            </w:r>
            <w:r w:rsidRPr="000C06E9">
              <w:rPr>
                <w:i/>
                <w:iCs/>
                <w:color w:val="333366"/>
              </w:rPr>
              <w:t>лиз —</w:t>
            </w:r>
            <w:r w:rsidRPr="000C06E9">
              <w:rPr>
                <w:color w:val="333366"/>
              </w:rPr>
              <w:t xml:space="preserve"> лизин </w:t>
            </w:r>
          </w:p>
        </w:tc>
      </w:tr>
    </w:tbl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Описаны метанобразующие архебактерии с очень толстой (до 500 нм) аморфной клеточной стенкой, дающей положительную реакцию по Граму, построенной исключительно из кислого гетерополисахарида, в составе которого обнаружены галактозамин, нейтральные сахара и уроновые кислоты. Наличие у этих бактерий положительного окрашивания по Граму может служить указанием на то, что оно определяется не химическим составом клеточной стенки, а ее строением</w:t>
      </w:r>
      <w:r>
        <w:rPr>
          <w:rFonts w:ascii="Times New Roman" w:hAnsi="Times New Roman" w:cs="Times New Roman"/>
          <w:vertAlign w:val="superscript"/>
        </w:rPr>
        <w:t>70</w:t>
      </w:r>
      <w:r>
        <w:rPr>
          <w:rFonts w:ascii="Times New Roman" w:hAnsi="Times New Roman" w:cs="Times New Roman"/>
        </w:rPr>
        <w:t>.</w:t>
      </w:r>
    </w:p>
    <w:p w:rsidR="000C06E9" w:rsidRDefault="000C06E9">
      <w:pPr>
        <w:pStyle w:val="footno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Вероятно, все гораздо сложнее. Описаны эубактерии, имеющие типичную грамположительную клеточную стенку, но окрашивающиеся по Граму отрицательно, и наоборот.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Наконец, у галобактерий, ацидофильно-термофильных архебактерий и большинства метанобразующих бактерий клеточная стенка построена из белка. В некоторых случаях в следовых количествах обнаружены аминосахара. Под электронным микроскопом клеточная стенка выглядит обычно как ряд регулярно расположенных белковых субъединиц. Все архебактерии с клеточной стенкой белковой природы грамотрицательны.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Другое уникальное свойство архебактерий касается состава их мембранных липидов. У них не найдены обычные для эубактерий эфиры глицерина и жирных кислот (см. </w:t>
      </w:r>
      <w:r w:rsidRPr="001F7848">
        <w:rPr>
          <w:rFonts w:ascii="Times New Roman" w:hAnsi="Times New Roman" w:cs="Times New Roman"/>
          <w:shd w:val="clear" w:color="auto" w:fill="DDFFFF"/>
        </w:rPr>
        <w:t>рис. 14</w:t>
      </w:r>
      <w:r>
        <w:rPr>
          <w:rFonts w:ascii="Times New Roman" w:hAnsi="Times New Roman" w:cs="Times New Roman"/>
        </w:rPr>
        <w:t>), но присутствуют эфиры, образованные путем конденсации глицерина с терпеноидными спиртами: диэфир состоит из глицерина, связанного простыми эфирными связями с двумя молекулами C</w:t>
      </w:r>
      <w:r>
        <w:rPr>
          <w:rFonts w:ascii="Times New Roman" w:hAnsi="Times New Roman" w:cs="Times New Roman"/>
          <w:vertAlign w:val="subscript"/>
        </w:rPr>
        <w:t>20</w:t>
      </w:r>
      <w:r>
        <w:rPr>
          <w:rFonts w:ascii="Times New Roman" w:hAnsi="Times New Roman" w:cs="Times New Roman"/>
        </w:rPr>
        <w:t>-спирта фитанола; тетраэфир образован двумя остатками глицерина, соединенными двумя одинаковыми парами C</w:t>
      </w:r>
      <w:r>
        <w:rPr>
          <w:rFonts w:ascii="Times New Roman" w:hAnsi="Times New Roman" w:cs="Times New Roman"/>
          <w:vertAlign w:val="subscript"/>
        </w:rPr>
        <w:t>40</w:t>
      </w:r>
      <w:r>
        <w:rPr>
          <w:rFonts w:ascii="Times New Roman" w:hAnsi="Times New Roman" w:cs="Times New Roman"/>
        </w:rPr>
        <w:t>-бифитанильных цепей (</w:t>
      </w:r>
      <w:r w:rsidRPr="001F7848">
        <w:rPr>
          <w:rFonts w:ascii="Times New Roman" w:hAnsi="Times New Roman" w:cs="Times New Roman"/>
          <w:shd w:val="clear" w:color="auto" w:fill="DDFFFF"/>
        </w:rPr>
        <w:t xml:space="preserve">рис. 102, </w:t>
      </w:r>
      <w:r w:rsidRPr="001F7848">
        <w:rPr>
          <w:rFonts w:ascii="Times New Roman" w:hAnsi="Times New Roman" w:cs="Times New Roman"/>
          <w:i/>
          <w:iCs/>
          <w:shd w:val="clear" w:color="auto" w:fill="DDFFFF"/>
        </w:rPr>
        <w:t>1, 2</w:t>
      </w:r>
      <w:r>
        <w:rPr>
          <w:rFonts w:ascii="Times New Roman" w:hAnsi="Times New Roman" w:cs="Times New Roman"/>
        </w:rPr>
        <w:t>). Молекула тетраэфира, таким образом, структурно эквивалентна двум молекулам диэфира. Бифитанильные цепи тетраэфиров могут быть ациклическими или содержать от 1 до 4 пятичленных колец (</w:t>
      </w:r>
      <w:r w:rsidRPr="001F7848">
        <w:rPr>
          <w:rFonts w:ascii="Times New Roman" w:hAnsi="Times New Roman" w:cs="Times New Roman"/>
          <w:shd w:val="clear" w:color="auto" w:fill="DDFFFF"/>
        </w:rPr>
        <w:t xml:space="preserve">рис. 102, </w:t>
      </w:r>
      <w:r w:rsidRPr="001F7848">
        <w:rPr>
          <w:rFonts w:ascii="Times New Roman" w:hAnsi="Times New Roman" w:cs="Times New Roman"/>
          <w:i/>
          <w:iCs/>
          <w:shd w:val="clear" w:color="auto" w:fill="DDFFFF"/>
        </w:rPr>
        <w:t>3</w:t>
      </w:r>
      <w:r>
        <w:rPr>
          <w:rFonts w:ascii="Times New Roman" w:hAnsi="Times New Roman" w:cs="Times New Roman"/>
        </w:rPr>
        <w:t>).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мембранах архебактерий присутствуют до 80–90% полярных фосфо- и гликолипидов, образованных на основе ди- и тетраэфиров. Экстремально галофильные архебактерии содержат диэфиры в качестве единственных мембранных гликолипидов. В мембранах ацидотермофильных архебактерий почти все гликолипиды представлены тетраэфирами. Метанобразующие бактерии содержат ди- и тетраэфиры, соотношение их в мембранах зависит от вида. Наличие пятичленных колец в бифитаниловых цепях характерно для термоацидофильных архебактерий, и это понятно, так как эти химические структуры способствуют стабилизации мембраны, снижая ее текучесть и обеспечивая функционирование при высоких температурах. При повышении температуры количество цепей, содержащих циклические группировки, возрастает, ациклических — снижается. Кроме того, в зависимости от температуры культивирования меняется число колец в цепи.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Помимо полярных липидов архебактерии содержат нейтральные липиды, основными из которых являются изопреноидные углеводороды, насыщенные или содержащие двойные связи, — производные C</w:t>
      </w:r>
      <w:r>
        <w:rPr>
          <w:rFonts w:ascii="Times New Roman" w:hAnsi="Times New Roman" w:cs="Times New Roman"/>
          <w:vertAlign w:val="subscript"/>
        </w:rPr>
        <w:t>15</w:t>
      </w:r>
      <w:r>
        <w:rPr>
          <w:rFonts w:ascii="Times New Roman" w:hAnsi="Times New Roman" w:cs="Times New Roman"/>
        </w:rPr>
        <w:t>-C</w:t>
      </w:r>
      <w:r>
        <w:rPr>
          <w:rFonts w:ascii="Times New Roman" w:hAnsi="Times New Roman" w:cs="Times New Roman"/>
          <w:vertAlign w:val="subscript"/>
        </w:rPr>
        <w:t>30</w:t>
      </w:r>
      <w:r>
        <w:rPr>
          <w:rFonts w:ascii="Times New Roman" w:hAnsi="Times New Roman" w:cs="Times New Roman"/>
        </w:rPr>
        <w:t>-изопреноидных скелетов. Особенно распространены у архебактерий C</w:t>
      </w:r>
      <w:r>
        <w:rPr>
          <w:rFonts w:ascii="Times New Roman" w:hAnsi="Times New Roman" w:cs="Times New Roman"/>
          <w:vertAlign w:val="subscript"/>
        </w:rPr>
        <w:t>30</w:t>
      </w:r>
      <w:r>
        <w:rPr>
          <w:rFonts w:ascii="Times New Roman" w:hAnsi="Times New Roman" w:cs="Times New Roman"/>
        </w:rPr>
        <w:t>-изопреноиды. Больше всего углеводородов содержится у метанобразующих бактерий, меньше — у галофилов и термоацидофилов.</w:t>
      </w:r>
    </w:p>
    <w:tbl>
      <w:tblPr>
        <w:tblW w:w="4935" w:type="dxa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5"/>
      </w:tblGrid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1250CD">
            <w:pPr>
              <w:jc w:val="center"/>
              <w:rPr>
                <w:color w:val="333366"/>
              </w:rPr>
            </w:pPr>
            <w:bookmarkStart w:id="1" w:name="102"/>
            <w:bookmarkEnd w:id="1"/>
            <w:r>
              <w:rPr>
                <w:color w:val="333366"/>
              </w:rPr>
              <w:pict>
                <v:shape id="_x0000_i1026" type="#_x0000_t75" style="width:246.75pt;height:157.5pt">
                  <v:imagedata r:id="rId6" o:title="fig102"/>
                </v:shape>
              </w:pict>
            </w:r>
          </w:p>
        </w:tc>
      </w:tr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 xml:space="preserve">Рис. 102. Липиды архебактерий: </w:t>
            </w:r>
            <w:r w:rsidRPr="000C06E9">
              <w:rPr>
                <w:i/>
                <w:iCs/>
                <w:color w:val="333366"/>
              </w:rPr>
              <w:t xml:space="preserve">1 — </w:t>
            </w:r>
            <w:r w:rsidRPr="000C06E9">
              <w:rPr>
                <w:color w:val="333366"/>
              </w:rPr>
              <w:t xml:space="preserve">фитаниловый диэфир глицерина; </w:t>
            </w:r>
            <w:r w:rsidRPr="000C06E9">
              <w:rPr>
                <w:i/>
                <w:iCs/>
                <w:color w:val="333366"/>
              </w:rPr>
              <w:t xml:space="preserve">2 — </w:t>
            </w:r>
            <w:r w:rsidRPr="000C06E9">
              <w:rPr>
                <w:color w:val="333366"/>
              </w:rPr>
              <w:t xml:space="preserve">бифитаниловый тетраэфир диглицерина; </w:t>
            </w:r>
            <w:r w:rsidRPr="000C06E9">
              <w:rPr>
                <w:i/>
                <w:iCs/>
                <w:color w:val="333366"/>
              </w:rPr>
              <w:t xml:space="preserve">3 — </w:t>
            </w:r>
            <w:r w:rsidRPr="000C06E9">
              <w:rPr>
                <w:color w:val="333366"/>
              </w:rPr>
              <w:t xml:space="preserve">изопреноид из полярных липидов, содержащий пятичленные циклические группировки; обведены полярные области; </w:t>
            </w:r>
            <w:r w:rsidRPr="000C06E9">
              <w:rPr>
                <w:i/>
                <w:iCs/>
                <w:color w:val="333366"/>
              </w:rPr>
              <w:t>R —</w:t>
            </w:r>
            <w:r w:rsidRPr="000C06E9">
              <w:rPr>
                <w:color w:val="333366"/>
              </w:rPr>
              <w:t xml:space="preserve"> остатки фосфорной кислоты или сахара </w:t>
            </w:r>
          </w:p>
        </w:tc>
      </w:tr>
    </w:tbl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Доминирование в мембране архебактерий липидов, образованных на основе ди- и тетраэфиров, поставило вопрос о принципиальной ее организации. По современным представлениям, у всех эубактерий и эукариот основу элементарной (липопротеиновой) мембраны составляет липидный бислой (см. </w:t>
      </w:r>
      <w:r w:rsidRPr="001F7848">
        <w:rPr>
          <w:rFonts w:ascii="Times New Roman" w:hAnsi="Times New Roman" w:cs="Times New Roman"/>
          <w:shd w:val="clear" w:color="auto" w:fill="DDFFFF"/>
        </w:rPr>
        <w:t>рис. 15</w:t>
      </w:r>
      <w:r>
        <w:rPr>
          <w:rFonts w:ascii="Times New Roman" w:hAnsi="Times New Roman" w:cs="Times New Roman"/>
        </w:rPr>
        <w:t>). Диэфиры архебактерий способны образовывать элементарные мембраны, состоящие из двух ориентированных слоев липидных молекул. Молекулы тетраэфира имеют длину порядка 5–7,5 нм. Толщина мембраны архебактерий примерно 7 нм. Такая мембрана не может быть организована из двух слоев тетраэфирных молекул. Очевидно, что в данном случае она представляет собой липидный монослой (</w:t>
      </w:r>
      <w:r w:rsidRPr="001F7848">
        <w:rPr>
          <w:rFonts w:ascii="Times New Roman" w:hAnsi="Times New Roman" w:cs="Times New Roman"/>
          <w:shd w:val="clear" w:color="auto" w:fill="DDFFFF"/>
        </w:rPr>
        <w:t>рис. 103</w:t>
      </w:r>
      <w:r>
        <w:rPr>
          <w:rFonts w:ascii="Times New Roman" w:hAnsi="Times New Roman" w:cs="Times New Roman"/>
        </w:rPr>
        <w:t>). Монослойные липидные мембраны обладают, очевидно, повышенной жесткостью по сравнению с бислойными. Обнаружение липопротеиновой мембраны, в основе которой лежит иной принцип организации, приводит к отказу еще от одной догмы — универсальности элементарной мембраны с бислойным липидным строением.</w:t>
      </w:r>
    </w:p>
    <w:tbl>
      <w:tblPr>
        <w:tblW w:w="2700" w:type="dxa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0"/>
      </w:tblGrid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1250CD">
            <w:pPr>
              <w:jc w:val="center"/>
              <w:rPr>
                <w:color w:val="333366"/>
              </w:rPr>
            </w:pPr>
            <w:bookmarkStart w:id="2" w:name="103"/>
            <w:bookmarkEnd w:id="2"/>
            <w:r>
              <w:rPr>
                <w:color w:val="333366"/>
              </w:rPr>
              <w:pict>
                <v:shape id="_x0000_i1027" type="#_x0000_t75" style="width:121.5pt;height:62.25pt">
                  <v:imagedata r:id="rId7" o:title="fig103"/>
                </v:shape>
              </w:pict>
            </w:r>
          </w:p>
        </w:tc>
      </w:tr>
      <w:tr w:rsidR="000C06E9" w:rsidRPr="000C06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 xml:space="preserve">Риc. 103. Схема бислойной и монослойной мембран архебактерий, образованных соответственно ди- (А) и тетраэфирами (Б) глицерина: </w:t>
            </w:r>
            <w:r w:rsidRPr="000C06E9">
              <w:rPr>
                <w:i/>
                <w:iCs/>
                <w:color w:val="333366"/>
              </w:rPr>
              <w:t>1</w:t>
            </w:r>
            <w:r w:rsidRPr="000C06E9">
              <w:rPr>
                <w:color w:val="333366"/>
              </w:rPr>
              <w:t xml:space="preserve"> — молекула глицерина; </w:t>
            </w:r>
            <w:r w:rsidRPr="000C06E9">
              <w:rPr>
                <w:i/>
                <w:iCs/>
                <w:color w:val="333366"/>
              </w:rPr>
              <w:t xml:space="preserve">2 — </w:t>
            </w:r>
            <w:r w:rsidRPr="000C06E9">
              <w:rPr>
                <w:color w:val="333366"/>
              </w:rPr>
              <w:t xml:space="preserve">углеводородные цепи разной длины (по Воробьевой, 1987) </w:t>
            </w:r>
          </w:p>
        </w:tc>
      </w:tr>
    </w:tbl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Существенные отличия выявлены у архебактерий в строении генома, аппаратов репликации, транскрипции и трансляции. Прежде всего исследователи обратили внимание на то, что именно в группе архебактерий наименьший геном среди свободноживующих форм прокариот: у </w:t>
      </w:r>
      <w:r>
        <w:rPr>
          <w:rFonts w:ascii="Times New Roman" w:hAnsi="Times New Roman" w:cs="Times New Roman"/>
          <w:i/>
          <w:iCs/>
        </w:rPr>
        <w:t>Thermoplasma acidophilum</w:t>
      </w:r>
      <w:r>
        <w:rPr>
          <w:rFonts w:ascii="Times New Roman" w:hAnsi="Times New Roman" w:cs="Times New Roman"/>
        </w:rPr>
        <w:t xml:space="preserve"> — 0,8x10</w:t>
      </w:r>
      <w:r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 xml:space="preserve"> Да, изученных метанобразующих бактерий — порядка 1x10</w:t>
      </w:r>
      <w:r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 xml:space="preserve"> Да (для сравнения молекулярная масса генома </w:t>
      </w:r>
      <w:r>
        <w:rPr>
          <w:rFonts w:ascii="Times New Roman" w:hAnsi="Times New Roman" w:cs="Times New Roman"/>
          <w:i/>
          <w:iCs/>
        </w:rPr>
        <w:t xml:space="preserve">Е. coli — </w:t>
      </w:r>
      <w:r>
        <w:rPr>
          <w:rFonts w:ascii="Times New Roman" w:hAnsi="Times New Roman" w:cs="Times New Roman"/>
        </w:rPr>
        <w:t>2,5x10</w:t>
      </w:r>
      <w:r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 xml:space="preserve"> Да). Однако у галобактерий величина генома оказалась больше, чем у </w:t>
      </w:r>
      <w:r>
        <w:rPr>
          <w:rFonts w:ascii="Times New Roman" w:hAnsi="Times New Roman" w:cs="Times New Roman"/>
          <w:i/>
          <w:iCs/>
        </w:rPr>
        <w:t>Е. coli.</w:t>
      </w:r>
      <w:r>
        <w:rPr>
          <w:rFonts w:ascii="Times New Roman" w:hAnsi="Times New Roman" w:cs="Times New Roman"/>
        </w:rPr>
        <w:t xml:space="preserve"> Особенность генома архебактерий — наличие многократно повторяющихся нуклеотидных последовательностей, а в генах, кодирующих белки, тРНК и рРНК, — интронов, что характерно для организации генетического материала эукариот. У некоторых архебактерий обнаружены основные гистоноподобные белки, связанные с ДНК. Функция их предположительно заключается в обеспечении определенной упаковки ДНК в нуклеоиде.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Помимо хромосомной ДНК в клетках архебактерий обнаружены типичные для эубактерий фаги, плазмиды, мигрирующие элементы.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Существование механизмов переноса генетической информации с помощью фагов и плазмид позволяет предполагать, что архебактерии должны каким-то образом защищать собственный генетический материал от чужеродного. У эубактерий эта проблема решена с помощью системы рестрикции-модификации. У эукариот такой системы нет, они выработали иные механизмы генетической изоляции. Найдено, что архебактерии обладают системой рестрикции-модификации, аналогичной эубактериальной.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об аппарате репликации архебактерий в основном ограничивается данными о выделенной из ограниченного числа видов ДНК-зависимой ДНК-полимеразе, по некоторым свойствам близкой к эукариотному типу. Генетический код архебактерий такой же, как у других организмов.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ДНК-зависимая РНК-полимераза архебактерий сочетает свойства, характерные для эукариот и эубактерий. У всех изученных представителей архебактерий РНК-полимераза одной формы, осуществляющая, как и в случае эубактерий, транскрипцию всех генов. (У эукариот, например дрожжей, существуют 3 формы РНК-полимеразы, различающиеся функционально, компонентным составом, чувствительностью к ингибиторам). Фермент архебактерий отличается структурной сложностью, в его состав входят от 5 до 11 отдельных субъединиц. (РНК-полимеразы эубактерий состоят из 4 — 8 компонентов, а эукариот — 10 — 14 субъединиц). Характерным для РНК-полимераз всех эубактерий является их чувствительность к антибиотикам, специфически ингибирующим инициацию (рифампицин) и элонгацию (стрептолидигин 1) транскрипции. Архебактериальная и все РНК-полимеразы эукариот не чувствительны к этим антибиотикам.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Недавно у архебактерий описан известный только у эукариот процессинг: вырезание из первичного продукта транскрипции определенных нуклеотидных участков, укорачивание и образование зрелых молекул РНК.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трансляции у архебактерий происходит по тому же принципиальному пути, что и у других организмов, но обнаружены многочисленные особенности в организации трансляционного аппарата. Рибосомы архебактерий сочетают свойства, присущие эубактериям и эукариотам: по размерам они схожи с рибосомами эубактерий (имеют константу седиментации 70S, а их субъединицы — 30S и 50S), по форме ближе к 80S рибосомам эукариот.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рибосомальных РНК архебактерий типично эубактериальный (5S, 16S и 23S рРНК), но их первичные структуры отличны от эубактериальных и эукариотных. Изучение нуклеотидных последовательностей 16S (18S) рРНК разных представителей живого мира и привело к выявлению среди прокариот группы архебактерий. Значения коэффициента сходства (S</w:t>
      </w:r>
      <w:r>
        <w:rPr>
          <w:rFonts w:ascii="Times New Roman" w:hAnsi="Times New Roman" w:cs="Times New Roman"/>
          <w:vertAlign w:val="subscript"/>
        </w:rPr>
        <w:t>AB</w:t>
      </w:r>
      <w:r>
        <w:rPr>
          <w:rFonts w:ascii="Times New Roman" w:hAnsi="Times New Roman" w:cs="Times New Roman"/>
        </w:rPr>
        <w:t>), отделяющие рРНК эубактерий, архебактерий и эукариот друг от друга, лежат в области 0,1 (S</w:t>
      </w:r>
      <w:r>
        <w:rPr>
          <w:rFonts w:ascii="Times New Roman" w:hAnsi="Times New Roman" w:cs="Times New Roman"/>
          <w:vertAlign w:val="subscript"/>
        </w:rPr>
        <w:t>AB</w:t>
      </w:r>
      <w:r>
        <w:rPr>
          <w:rFonts w:ascii="Times New Roman" w:hAnsi="Times New Roman" w:cs="Times New Roman"/>
        </w:rPr>
        <w:t>, равный 1, соответствует полной гомологии нуклеотидных последовательностей; S</w:t>
      </w:r>
      <w:r>
        <w:rPr>
          <w:rFonts w:ascii="Times New Roman" w:hAnsi="Times New Roman" w:cs="Times New Roman"/>
          <w:vertAlign w:val="subscript"/>
        </w:rPr>
        <w:t>AB</w:t>
      </w:r>
      <w:r>
        <w:rPr>
          <w:rFonts w:ascii="Times New Roman" w:hAnsi="Times New Roman" w:cs="Times New Roman"/>
        </w:rPr>
        <w:t xml:space="preserve"> порядка 0,02 — уровень случайного совпадения).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Архебактериальные 5S рРНК по нуклеотидной последовательности также заметно отличаются от соответствующих рРНК эубактерий и эукариот. Вторичные структуры этих РНК у различных представителей архебактерий проявляют наличие эубактериальных, эукариотных и уникальных черт в разных соотношениях и по своему разнообразию охватывают широкий спектр структур от типично эубактериальной до типично эукариотной.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рибосомальных белков у архебактерий больше, чем у эубактерий, но меньше, чем у эукариот. Получены данные, свидетельствующие об уникальности первичной структуры ряда рибосомальных белков архебактерий. В то же время наиболее интенсивно изучаемый рибосомальный белок А архебактерий по аминокислотной последовательности сходен с соответствующим белком эукариот. На 70S архебактериальной рибосоме отсутствуют места связывания ингибиторов, специфичных для 70S рибосом эубактерий (хлорамфеникол, стрептомицин), но есть места для связывания ингибиторов, специфических в отношении 80S рибосом эукариот.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тРНК архебактерий характерно сходство с остальными организмами по общим принципам организации, но значительные различия по многим частным деталям. Это проявляется, например, в специфической модификации ряда нуклеотидов в молекуле архебактериальной тРНК, происходящей после окончания транскрипции. Модификации могут быть уникальными для архебактерий, общими для эубактерий и эукариот, характерными только для эубактерий или только для эукариот. В целом тРНК архебактерий отличается от тРНК эубактерий и эукариот в такой же степени, как последние различаются между собой.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Несмотря на выявленные многочисленные различия в аппаратах транскрипции и трансляции между эубактериями и архебактериями, было показано, что архебактериальная ДНК, перенесенная с помощью плазмиды в клетку эубактерий, может считываться в ней, результатом чего является синтез функционально активных ферментов.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Метаболизм архебактерий.</w:t>
      </w:r>
      <w:r>
        <w:rPr>
          <w:rFonts w:ascii="Times New Roman" w:hAnsi="Times New Roman" w:cs="Times New Roman"/>
        </w:rPr>
        <w:t xml:space="preserve"> В группе архебактерий известны организмы с хемоорганогетеротрофным, хемолитоавтотрофным, хемолитогетеротрофным и фотогетеротрофным типом питания. Источником углерода для разных представителей могут служить сахара, аминокислоты, органические кислоты, 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-соединения и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 У архебактерий, метаболизм которых связан с молекулярной серой, автотрофная фиксация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происходит по восстановительному ЦТК, функционирующему также в группе зеленых серобактерий (см. </w:t>
      </w:r>
      <w:r w:rsidRPr="001F7848">
        <w:rPr>
          <w:rFonts w:ascii="Times New Roman" w:hAnsi="Times New Roman" w:cs="Times New Roman"/>
          <w:shd w:val="clear" w:color="auto" w:fill="DDFFFF"/>
        </w:rPr>
        <w:t>рис. 76</w:t>
      </w:r>
      <w:r>
        <w:rPr>
          <w:rFonts w:ascii="Times New Roman" w:hAnsi="Times New Roman" w:cs="Times New Roman"/>
        </w:rPr>
        <w:t>); виды, способные расти на среде с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, фиксируют углекислоту по недавно открытому нециклическому ацетил-КоА-пути, описанному у ацетогенных эубактерий (см. </w:t>
      </w:r>
      <w:r w:rsidRPr="001F7848">
        <w:rPr>
          <w:rFonts w:ascii="Times New Roman" w:hAnsi="Times New Roman" w:cs="Times New Roman"/>
          <w:shd w:val="clear" w:color="auto" w:fill="DDFFFF"/>
        </w:rPr>
        <w:t>рис. 62</w:t>
      </w:r>
      <w:r>
        <w:rPr>
          <w:rFonts w:ascii="Times New Roman" w:hAnsi="Times New Roman" w:cs="Times New Roman"/>
        </w:rPr>
        <w:t>). Центральным метаболитом этого пути является ацетил-КоА, который через фосфоенолпируват превращается в 3-ФГА и далее в молекулу фруктозо-6-фосфата. Таким образом, у архебактерий, способных к автотрофии, фиксация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происходит по восстановительному пути карбоновых кислот в различных его модификациях. Ни в одном случае не обнаружено функционирование восстановительного пентозофосфатного цикла. В сравнении с последним и восстановительным ЦТК ацетил-КоА-путь фиксации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более экономичен с точки зрения потребления АТФ, но требует большего количества восстановленных кофакторов</w:t>
      </w:r>
      <w:r>
        <w:rPr>
          <w:rFonts w:ascii="Times New Roman" w:hAnsi="Times New Roman" w:cs="Times New Roman"/>
          <w:vertAlign w:val="superscript"/>
        </w:rPr>
        <w:t>71</w:t>
      </w:r>
      <w:r>
        <w:rPr>
          <w:rFonts w:ascii="Times New Roman" w:hAnsi="Times New Roman" w:cs="Times New Roman"/>
        </w:rPr>
        <w:t>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других реакций конструктивного метаболизма архебактерий, как правило, обнаруживает пути, функционирующие у эубактерий. Так, глюконеогенез, начиная с пирувата, идет по тому же механизму, что у эубактерий. Ассимиляция аммония, синтез изопреноидных липидов, нуклеотидов происходит по обычным для эубактерий путям.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Катаболизирование архебактериями Сахаров происходит по путям, свойственным эубактериям: гликолиз, окислительный пентозофосфатный путь, ЦТК и путь Энтнера–Дудорова. Эти катаболические пути найдены не у всех представителей группы. У многих архебактерий, например, отсутствует гликолиз. Таким образом, анаболические и катаболические пути превращения углеродных соединений у архебактерий сходны с эубактериальными путями.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71</w:t>
      </w:r>
      <w:r>
        <w:rPr>
          <w:rFonts w:ascii="Times New Roman" w:hAnsi="Times New Roman" w:cs="Times New Roman"/>
        </w:rPr>
        <w:t xml:space="preserve"> Для синтеза 1 молекулы триозы в восстановительном пентозофосфатном цикле требуется 9 молекул АТФ, в восстановительном ЦТК — 5, а в ацетил-КоА-пути — только 3.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получения архебактериями энергии включает бесхлорофилльный фотосинтез, брожение, аэробное и анаэробное дыхание, при котором конечными акцепторами электронов могут быть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другие 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-соединения, молекулярная сера, 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– </w:t>
      </w:r>
      <w:r>
        <w:rPr>
          <w:rFonts w:ascii="Times New Roman" w:hAnsi="Times New Roman" w:cs="Times New Roman"/>
        </w:rPr>
        <w:t>, Fe</w:t>
      </w:r>
      <w:r>
        <w:rPr>
          <w:rFonts w:ascii="Times New Roman" w:hAnsi="Times New Roman" w:cs="Times New Roman"/>
          <w:vertAlign w:val="superscript"/>
        </w:rPr>
        <w:t>3+</w:t>
      </w:r>
      <w:r>
        <w:rPr>
          <w:rFonts w:ascii="Times New Roman" w:hAnsi="Times New Roman" w:cs="Times New Roman"/>
        </w:rPr>
        <w:t xml:space="preserve"> и Mo</w:t>
      </w:r>
      <w:r>
        <w:rPr>
          <w:rFonts w:ascii="Times New Roman" w:hAnsi="Times New Roman" w:cs="Times New Roman"/>
          <w:vertAlign w:val="superscript"/>
        </w:rPr>
        <w:t>6+</w:t>
      </w:r>
      <w:r>
        <w:rPr>
          <w:rFonts w:ascii="Times New Roman" w:hAnsi="Times New Roman" w:cs="Times New Roman"/>
        </w:rPr>
        <w:t>. У организмов, получающих энергию с использованием электронного транспорта, в качестве электронпереносящих компонентов обнаружены ферредоксины, хиноны, цитохромы. Электронный транспорт сопряжен с трансмембранным переносом протонов. Механизм окислительного фосфорилирования архебактерий соответствует хемиосмотическому принципу и сходен с аналогичным механизмом эубактерий и митохондрий. В то же время следует подчеркнуть, что архебактериям свойственны типы энергетического метаболизма, не встречающиеся у эубактерий и эукариот. Это бесхлорофилльный фотосинтез и особый тип анаэробного дыхания, в процессе которого происходит образование метана.</w:t>
      </w:r>
    </w:p>
    <w:p w:rsidR="000C06E9" w:rsidRDefault="000C06E9">
      <w:pPr>
        <w:pStyle w:val="tablehead"/>
        <w:rPr>
          <w:rFonts w:ascii="Times New Roman" w:hAnsi="Times New Roman" w:cs="Times New Roman"/>
        </w:rPr>
      </w:pPr>
      <w:bookmarkStart w:id="3" w:name="tab33"/>
      <w:bookmarkEnd w:id="3"/>
      <w:r>
        <w:rPr>
          <w:rFonts w:ascii="Times New Roman" w:hAnsi="Times New Roman" w:cs="Times New Roman"/>
        </w:rPr>
        <w:t>Таблица 33. Свойства архебактерий (по Дуде, 1985)</w:t>
      </w:r>
    </w:p>
    <w:tbl>
      <w:tblPr>
        <w:tblW w:w="5000" w:type="pct"/>
        <w:tblCellSpacing w:w="7" w:type="dxa"/>
        <w:tblInd w:w="-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26"/>
        <w:gridCol w:w="3828"/>
        <w:gridCol w:w="3252"/>
      </w:tblGrid>
      <w:tr w:rsidR="000C06E9" w:rsidRPr="000C06E9">
        <w:trPr>
          <w:cantSplit/>
          <w:tblCellSpacing w:w="7" w:type="dxa"/>
        </w:trPr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>Признаки, характерные для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>Признаки, уникальные для архебактерий</w:t>
            </w:r>
          </w:p>
        </w:tc>
      </w:tr>
      <w:tr w:rsidR="000C06E9" w:rsidRPr="000C06E9">
        <w:trPr>
          <w:cantSplit/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>эубактерий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jc w:val="center"/>
              <w:rPr>
                <w:color w:val="333366"/>
              </w:rPr>
            </w:pPr>
            <w:r w:rsidRPr="000C06E9">
              <w:rPr>
                <w:color w:val="333366"/>
              </w:rPr>
              <w:t>эукариот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6E9" w:rsidRPr="000C06E9" w:rsidRDefault="000C06E9">
            <w:pPr>
              <w:rPr>
                <w:color w:val="333366"/>
              </w:rPr>
            </w:pPr>
          </w:p>
        </w:tc>
      </w:tr>
      <w:tr w:rsidR="000C06E9" w:rsidRPr="000C06E9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rPr>
                <w:color w:val="333366"/>
              </w:rPr>
            </w:pPr>
            <w:r w:rsidRPr="000C06E9">
              <w:rPr>
                <w:color w:val="333366"/>
              </w:rPr>
              <w:t>Нуклеоид</w:t>
            </w:r>
            <w:r w:rsidRPr="000C06E9">
              <w:rPr>
                <w:color w:val="333366"/>
              </w:rPr>
              <w:br/>
              <w:t>Жгутики</w:t>
            </w:r>
            <w:r w:rsidRPr="000C06E9">
              <w:rPr>
                <w:color w:val="333366"/>
              </w:rPr>
              <w:br/>
              <w:t>Бактериофаги, плазмиды</w:t>
            </w:r>
            <w:r w:rsidRPr="000C06E9">
              <w:rPr>
                <w:color w:val="333366"/>
              </w:rPr>
              <w:br/>
              <w:t xml:space="preserve">Газовые вакуоли </w:t>
            </w:r>
            <w:r w:rsidRPr="000C06E9">
              <w:rPr>
                <w:color w:val="333366"/>
              </w:rPr>
              <w:br/>
              <w:t xml:space="preserve">Фимбрии </w:t>
            </w:r>
            <w:r w:rsidRPr="000C06E9">
              <w:rPr>
                <w:color w:val="333366"/>
              </w:rPr>
              <w:br/>
              <w:t xml:space="preserve">Серное дыхание </w:t>
            </w:r>
            <w:r w:rsidRPr="000C06E9">
              <w:rPr>
                <w:color w:val="333366"/>
              </w:rPr>
              <w:br/>
              <w:t>Типы автотрофной фиксации CO</w:t>
            </w:r>
            <w:r w:rsidRPr="000C06E9">
              <w:rPr>
                <w:color w:val="333366"/>
                <w:vertAlign w:val="subscript"/>
              </w:rPr>
              <w:t>2</w:t>
            </w:r>
            <w:r w:rsidRPr="000C06E9">
              <w:rPr>
                <w:color w:val="333366"/>
              </w:rPr>
              <w:t xml:space="preserve"> </w:t>
            </w:r>
            <w:r w:rsidRPr="000C06E9">
              <w:rPr>
                <w:color w:val="333366"/>
              </w:rPr>
              <w:br/>
              <w:t xml:space="preserve">Азотфиксация </w:t>
            </w:r>
            <w:r w:rsidRPr="000C06E9">
              <w:rPr>
                <w:color w:val="333366"/>
              </w:rPr>
              <w:br/>
              <w:t xml:space="preserve">Типы ферредоксинов и цитохромов </w:t>
            </w:r>
            <w:r w:rsidRPr="000C06E9">
              <w:rPr>
                <w:color w:val="333366"/>
              </w:rPr>
              <w:br/>
              <w:t xml:space="preserve">Один из типов клеточных стенок (псевдомуреин) </w:t>
            </w:r>
            <w:r w:rsidRPr="000C06E9">
              <w:rPr>
                <w:color w:val="333366"/>
              </w:rPr>
              <w:br/>
              <w:t xml:space="preserve">Система рестрикции-модификации </w:t>
            </w:r>
            <w:r w:rsidRPr="000C06E9">
              <w:rPr>
                <w:color w:val="333366"/>
              </w:rPr>
              <w:br/>
              <w:t xml:space="preserve">Размер рибосом и рРНК </w:t>
            </w:r>
            <w:r w:rsidRPr="000C06E9">
              <w:rPr>
                <w:color w:val="333366"/>
              </w:rPr>
              <w:br/>
              <w:t>Типы некоторых рибосомальных белков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rPr>
                <w:color w:val="333366"/>
              </w:rPr>
            </w:pPr>
            <w:r w:rsidRPr="000C06E9">
              <w:rPr>
                <w:color w:val="333366"/>
              </w:rPr>
              <w:t xml:space="preserve">Повторяющиеся последовательности в хромосомной ДНК </w:t>
            </w:r>
            <w:r w:rsidRPr="000C06E9">
              <w:rPr>
                <w:color w:val="333366"/>
              </w:rPr>
              <w:br/>
              <w:t xml:space="preserve">Гистоны, связанные с хромосомной ДНК </w:t>
            </w:r>
            <w:r w:rsidRPr="000C06E9">
              <w:rPr>
                <w:color w:val="333366"/>
              </w:rPr>
              <w:br/>
              <w:t xml:space="preserve">Наличие интронов в генах </w:t>
            </w:r>
            <w:r w:rsidRPr="000C06E9">
              <w:rPr>
                <w:color w:val="333366"/>
              </w:rPr>
              <w:br/>
              <w:t xml:space="preserve">Процессинг </w:t>
            </w:r>
            <w:r w:rsidRPr="000C06E9">
              <w:rPr>
                <w:color w:val="333366"/>
              </w:rPr>
              <w:br/>
              <w:t xml:space="preserve">Родопсиновый белок </w:t>
            </w:r>
            <w:r w:rsidRPr="000C06E9">
              <w:rPr>
                <w:color w:val="333366"/>
              </w:rPr>
              <w:br/>
              <w:t xml:space="preserve">Форма рибосом и строение некоторых рибосомальных белков </w:t>
            </w:r>
            <w:r w:rsidRPr="000C06E9">
              <w:rPr>
                <w:color w:val="333366"/>
              </w:rPr>
              <w:br/>
              <w:t>Чувствительность к некоторым антибиотикам, угнетающим клетки эукариот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6E9" w:rsidRPr="000C06E9" w:rsidRDefault="000C06E9">
            <w:pPr>
              <w:rPr>
                <w:color w:val="333366"/>
              </w:rPr>
            </w:pPr>
            <w:r w:rsidRPr="000C06E9">
              <w:rPr>
                <w:color w:val="333366"/>
              </w:rPr>
              <w:t xml:space="preserve">Клеточные стенки </w:t>
            </w:r>
            <w:r w:rsidRPr="000C06E9">
              <w:rPr>
                <w:color w:val="333366"/>
              </w:rPr>
              <w:br/>
              <w:t xml:space="preserve">Особые мембранные липиды </w:t>
            </w:r>
            <w:r w:rsidRPr="000C06E9">
              <w:rPr>
                <w:color w:val="333366"/>
              </w:rPr>
              <w:br/>
              <w:t xml:space="preserve">Монослой липидов в ЦПМ некоторых видов </w:t>
            </w:r>
            <w:r w:rsidRPr="000C06E9">
              <w:rPr>
                <w:color w:val="333366"/>
              </w:rPr>
              <w:br/>
              <w:t xml:space="preserve">Субъединичный состав </w:t>
            </w:r>
            <w:r w:rsidRPr="000C06E9">
              <w:rPr>
                <w:color w:val="333366"/>
              </w:rPr>
              <w:br/>
              <w:t xml:space="preserve">РНК-полимеразы </w:t>
            </w:r>
            <w:r w:rsidRPr="000C06E9">
              <w:rPr>
                <w:color w:val="333366"/>
              </w:rPr>
              <w:br/>
              <w:t xml:space="preserve">Специфические кофакторы </w:t>
            </w:r>
            <w:r w:rsidRPr="000C06E9">
              <w:rPr>
                <w:color w:val="333366"/>
              </w:rPr>
              <w:br/>
              <w:t xml:space="preserve">Образование метана </w:t>
            </w:r>
            <w:r w:rsidRPr="000C06E9">
              <w:rPr>
                <w:color w:val="333366"/>
              </w:rPr>
              <w:br/>
              <w:t xml:space="preserve">Тип фотосинтеза </w:t>
            </w:r>
            <w:r w:rsidRPr="000C06E9">
              <w:rPr>
                <w:color w:val="333366"/>
              </w:rPr>
              <w:br/>
              <w:t xml:space="preserve">Особенности нуклеотидного состава 5S, 16S рРНК и тРНК </w:t>
            </w:r>
            <w:r w:rsidRPr="000C06E9">
              <w:rPr>
                <w:color w:val="333366"/>
              </w:rPr>
              <w:br/>
              <w:t xml:space="preserve">Сложный компонентный состав рибосомальных белков </w:t>
            </w:r>
            <w:r w:rsidRPr="000C06E9">
              <w:rPr>
                <w:color w:val="333366"/>
              </w:rPr>
              <w:br/>
              <w:t>Способность некоторых видов расти при температурах выше 100°</w:t>
            </w:r>
          </w:p>
        </w:tc>
      </w:tr>
    </w:tbl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Некоторые свойства архебактерий, уникальные, сближающие их с эубактериями или эукариотами, суммированы в </w:t>
      </w:r>
      <w:r w:rsidRPr="001F7848">
        <w:rPr>
          <w:rFonts w:ascii="Times New Roman" w:hAnsi="Times New Roman" w:cs="Times New Roman"/>
          <w:shd w:val="clear" w:color="auto" w:fill="DDFFFF"/>
        </w:rPr>
        <w:t>табл. 33</w:t>
      </w:r>
      <w:r>
        <w:rPr>
          <w:rFonts w:ascii="Times New Roman" w:hAnsi="Times New Roman" w:cs="Times New Roman"/>
        </w:rPr>
        <w:t>. Ряд свойств архебактерий нельзя отнести ни к одной из перечисленных групп. Они у разных подгрупп различны и охватывают диапазон от типично эубактериальных до типично эукариотных. Обращает на себя внимание определенная "эволюционная ограниченность" этой группы прокариот. В ней отсутствуют патогенные, паразитические формы. Способность использовать органические вещества у большинства ограничена простыми низкомолекулярными соединениями, что связывают с неспособностью синтезировать активные гидролитические ферменты. Клеточная организация архебактерий не обнаруживает той степени сложности, которая свойственна грамотрицательным эубактериям. Нет у архебактерий циклов развития, характерных для ряда эубактерий.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архебактерий как группы в целом характерна способность существовать в широком диапазоне условий внешней среды. Среди них есть строгие и факультативные анаэробы и облигатные аэробы, нейтрофилы и облигатные ацидофилы, экстремальные галофилы. В этой же группе наряду с мезофилами описаны экстремальные термофилы, имеющие оптимальную температуру роста свыше 100° (см. </w:t>
      </w:r>
      <w:r w:rsidRPr="001F7848">
        <w:rPr>
          <w:rFonts w:ascii="Times New Roman" w:hAnsi="Times New Roman" w:cs="Times New Roman"/>
          <w:shd w:val="clear" w:color="auto" w:fill="DDFFFF"/>
        </w:rPr>
        <w:t>рис. 36</w:t>
      </w:r>
      <w:r>
        <w:rPr>
          <w:rFonts w:ascii="Times New Roman" w:hAnsi="Times New Roman" w:cs="Times New Roman"/>
        </w:rPr>
        <w:t>). Именно к этой группе прокариот относятся бактерии, растущие при самых высоких температурах. К архебактериям предположительно относятся микроорганизмы, обнаруженные на дне океана на глубине около 2,5 км, где давление достигает 260 атм, а температура воды в зонах выходящих со дна "черных гейзеров" — 250 — 300°.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попытке охватить группу архебактерий в целом на первый план выступают черты высокой степени неоднородности внутри самой группы. По многим признакам архебактерий проявляют гораздо больше отличий друг от друга, чем эубактерий и эукариоты. На основании сравнительного исследования нуклеотидных последовательностей 16S рРНК в группе архебактерий выявлены 2 ветви: одна объединяет метанобразующие и экстремально галофильные виды, другая — аэробные и анаэробные серозависимые термо- и термоацидофилы. Промежуточное положение занимает термоацидофильная микоплазма </w:t>
      </w:r>
      <w:r>
        <w:rPr>
          <w:rFonts w:ascii="Times New Roman" w:hAnsi="Times New Roman" w:cs="Times New Roman"/>
          <w:i/>
          <w:iCs/>
        </w:rPr>
        <w:t>Thermoplasma acidophilum.</w:t>
      </w:r>
      <w:r>
        <w:rPr>
          <w:rFonts w:ascii="Times New Roman" w:hAnsi="Times New Roman" w:cs="Times New Roman"/>
        </w:rPr>
        <w:t xml:space="preserve"> Максимальные "эволюционные расстояния" между разными группами архебактерий, выраженные с помощью коэффициента S</w:t>
      </w:r>
      <w:r>
        <w:rPr>
          <w:rFonts w:ascii="Times New Roman" w:hAnsi="Times New Roman" w:cs="Times New Roman"/>
          <w:vertAlign w:val="subscript"/>
        </w:rPr>
        <w:t>AB</w:t>
      </w:r>
      <w:r>
        <w:rPr>
          <w:rFonts w:ascii="Times New Roman" w:hAnsi="Times New Roman" w:cs="Times New Roman"/>
        </w:rPr>
        <w:t>, достигают величины, равной 0,2. Такая же величина S</w:t>
      </w:r>
      <w:r>
        <w:rPr>
          <w:rFonts w:ascii="Times New Roman" w:hAnsi="Times New Roman" w:cs="Times New Roman"/>
          <w:vertAlign w:val="subscript"/>
        </w:rPr>
        <w:t>AB</w:t>
      </w:r>
      <w:r>
        <w:rPr>
          <w:rFonts w:ascii="Times New Roman" w:hAnsi="Times New Roman" w:cs="Times New Roman"/>
        </w:rPr>
        <w:t xml:space="preserve"> характеризует и филогенетически далекие группы эубактерий. По молекулярной организации ветвь, включающая метанобразующие и экстремально галофильные архебактерий, ближе к эубактериям, а серозависимые архебактерий — к эукариотам.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Данные, суммированные в </w:t>
      </w:r>
      <w:r w:rsidRPr="001F7848">
        <w:rPr>
          <w:rFonts w:ascii="Times New Roman" w:hAnsi="Times New Roman" w:cs="Times New Roman"/>
          <w:shd w:val="clear" w:color="auto" w:fill="DDFFFF"/>
        </w:rPr>
        <w:t>табл. 33</w:t>
      </w:r>
      <w:r>
        <w:rPr>
          <w:rFonts w:ascii="Times New Roman" w:hAnsi="Times New Roman" w:cs="Times New Roman"/>
        </w:rPr>
        <w:t xml:space="preserve">, говорят об обособленности группы архебактерий, их особом эволюционном пути и обоснованности выделения в таксой высокого ранга. В IX издании Определителя бактерий Берги архебактерий предложено в рамках царства Prokaryotae выделить в отдел Mendosicutes класс Archaeobacteria (см. </w:t>
      </w:r>
      <w:r w:rsidRPr="001F7848">
        <w:rPr>
          <w:rFonts w:ascii="Times New Roman" w:hAnsi="Times New Roman" w:cs="Times New Roman"/>
          <w:shd w:val="clear" w:color="auto" w:fill="DDFFFF"/>
        </w:rPr>
        <w:t>табл. 13</w:t>
      </w:r>
      <w:r>
        <w:rPr>
          <w:rFonts w:ascii="Times New Roman" w:hAnsi="Times New Roman" w:cs="Times New Roman"/>
        </w:rPr>
        <w:t>). По мнению ряда исследователей, архебактерий представляют собой новое царство и наряду с царством Eubacteria должны составить надцарство Prokaryotae.</w:t>
      </w:r>
    </w:p>
    <w:p w:rsidR="000C06E9" w:rsidRDefault="000C06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Относительно места архебактерий в эволюции мнения также расходятся. Согласно одному из них, архебактерий — одна из трех древних ветвей прокариотных организмов, самостоятельно развившихся из общего предка, не достигшего еще прокариотного уровня организации (см. </w:t>
      </w:r>
      <w:r w:rsidRPr="001F7848">
        <w:rPr>
          <w:rFonts w:ascii="Times New Roman" w:hAnsi="Times New Roman" w:cs="Times New Roman"/>
          <w:shd w:val="clear" w:color="auto" w:fill="DDFFFF"/>
        </w:rPr>
        <w:t xml:space="preserve">рис. 41, </w:t>
      </w:r>
      <w:r w:rsidRPr="001F7848">
        <w:rPr>
          <w:rFonts w:ascii="Times New Roman" w:hAnsi="Times New Roman" w:cs="Times New Roman"/>
          <w:i/>
          <w:iCs/>
          <w:shd w:val="clear" w:color="auto" w:fill="DDFFFF"/>
        </w:rPr>
        <w:t>Б</w:t>
      </w:r>
      <w:r>
        <w:rPr>
          <w:rFonts w:ascii="Times New Roman" w:hAnsi="Times New Roman" w:cs="Times New Roman"/>
        </w:rPr>
        <w:t>). Ряд исследователей акцентируют внимание на том, что архебактерий и эубактерий имеют много общих признаков, которые они, вероятно, унаследовали от общего предка, имевшего вполне развитое прокариотное строение. Предполагается, что архебактерий произошли от каких-то эубактерий. Нет единого мнения также и в вопросе о том, является ли группа архебактерий монофилетической или это искусственно объединенные представители неродственных друг другу групп бактерий, в основе которого лежит приспособление к экстремальным условиям существования.</w:t>
      </w:r>
    </w:p>
    <w:p w:rsidR="000C06E9" w:rsidRDefault="000C06E9">
      <w:pPr>
        <w:pStyle w:val="1"/>
        <w:rPr>
          <w:rFonts w:ascii="Times New Roman" w:hAnsi="Times New Roman" w:cs="Times New Roman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Влавианос-Арванитис А., Олескин А.В.</w:t>
      </w:r>
      <w:r>
        <w:t xml:space="preserve"> Биополитика. Био-окружение. Био-силлабус. Афины: Биополитическая Интернациональная Организация. 1993.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Горелов А.А.</w:t>
      </w:r>
      <w:r>
        <w:t xml:space="preserve"> Социальная экология. М. Изд-во Ин-та философии РАН. 1998.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Гусев М.В.</w:t>
      </w:r>
      <w:r>
        <w:t xml:space="preserve"> К обсуждению вопроса об антропоцентризме и биоцентризме// Вест. Моск. ун-та. Сер. 16 (Биология). 1991. N 1. С.3--6.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Данилова Н.Н., Крылова А.Л.</w:t>
      </w:r>
      <w:r>
        <w:t xml:space="preserve"> Физиология высшей нервной деятельности. М.: Учебная лите</w:t>
      </w:r>
      <w:r>
        <w:softHyphen/>
        <w:t xml:space="preserve">ратура. 1997.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Дерягина М.А.</w:t>
      </w:r>
      <w:r>
        <w:t xml:space="preserve"> Эволюционная антропология. М.: Изд-во УРАО. 1999.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Дерягина М.А, Бутовская М.Л.</w:t>
      </w:r>
      <w:r>
        <w:t xml:space="preserve"> Этология приматов. М.: МГУ. 1992.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Дольник В.Р.</w:t>
      </w:r>
      <w:r>
        <w:t xml:space="preserve"> Непослушное дитя биосферы. Беседы о человеке в компании птиц и зверей. М.: Педагогика. 1994.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Дольник В.Р.</w:t>
      </w:r>
      <w:r>
        <w:t xml:space="preserve"> Вышли мы все из природы. Беседы о поведении человека в компании птиц, зверей и детей. М.: Linka Press. 1996.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Дьюсбери Д.</w:t>
      </w:r>
      <w:r>
        <w:t xml:space="preserve"> Поведение животных. Сравнительные аспекты. М.: Мир. 1981.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Захаров А.А.</w:t>
      </w:r>
      <w:r>
        <w:t xml:space="preserve"> Организация сообществ у муравьев. М.: Наука. 1991.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Зорина З.А., И.И. Полетаева, Ж.И. Резникова.</w:t>
      </w:r>
      <w:r>
        <w:t xml:space="preserve"> Основы этологии и генетики поведения. М.: Изд-во МГУ. 1999.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Карпинская Р.С., Лисеев И.К., Огурцов А.П.</w:t>
      </w:r>
      <w:r>
        <w:t>. Философия природы: коэво</w:t>
      </w:r>
      <w:r>
        <w:softHyphen/>
        <w:t xml:space="preserve">люционная стратегия. М.: Интерпракс. 1995. С. 13--78.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Ламсден Ч., Гуршурст А.</w:t>
      </w:r>
      <w:r>
        <w:t xml:space="preserve"> Генно-культурная коэволюция: человеческий род в становлении // Человек. 1991. № 3. С.11--22.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Лоренц К.З.</w:t>
      </w:r>
      <w:r>
        <w:t xml:space="preserve"> Агрессия (так называемое зло). М.: Прогресс. 1994.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Майерс Д.</w:t>
      </w:r>
      <w:r>
        <w:t xml:space="preserve"> Социальная психология. Спб., М., Харьков, Минск: Питер. 2000. </w:t>
      </w:r>
    </w:p>
    <w:p w:rsidR="000C06E9" w:rsidRDefault="000C0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i/>
          <w:iCs/>
        </w:rPr>
        <w:t>Мак-Фарленд Д.</w:t>
      </w:r>
      <w:r>
        <w:t xml:space="preserve"> Поведение животных. Этология и психобиология. М.: Мир. 1988. </w:t>
      </w:r>
    </w:p>
    <w:p w:rsidR="000C06E9" w:rsidRDefault="000C06E9">
      <w:pPr>
        <w:pStyle w:val="a5"/>
      </w:pPr>
      <w:bookmarkStart w:id="4" w:name="_GoBack"/>
      <w:bookmarkEnd w:id="4"/>
    </w:p>
    <w:sectPr w:rsidR="000C06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3EC4"/>
    <w:multiLevelType w:val="hybridMultilevel"/>
    <w:tmpl w:val="387ECAA6"/>
    <w:lvl w:ilvl="0" w:tplc="DF127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DA3C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02C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12C0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A06E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14F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8642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84E6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0EE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8"/>
    <w:rsid w:val="000C06E9"/>
    <w:rsid w:val="001250CD"/>
    <w:rsid w:val="001F7848"/>
    <w:rsid w:val="003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767A89D-7B7A-45E9-805D-768E7606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hd w:val="clear" w:color="auto" w:fill="FFFFFF"/>
      <w:spacing w:before="100" w:beforeAutospacing="1" w:after="100" w:afterAutospacing="1"/>
      <w:outlineLvl w:val="0"/>
    </w:pPr>
    <w:rPr>
      <w:rFonts w:ascii="Verdana" w:hAnsi="Verdana" w:cs="Verdana"/>
      <w:b/>
      <w:bCs/>
      <w:color w:val="330000"/>
      <w:kern w:val="36"/>
      <w:sz w:val="29"/>
      <w:szCs w:val="29"/>
    </w:rPr>
  </w:style>
  <w:style w:type="paragraph" w:styleId="2">
    <w:name w:val="heading 2"/>
    <w:basedOn w:val="a"/>
    <w:link w:val="20"/>
    <w:uiPriority w:val="99"/>
    <w:qFormat/>
    <w:pPr>
      <w:shd w:val="clear" w:color="auto" w:fill="FFFFFF"/>
      <w:spacing w:before="100" w:beforeAutospacing="1" w:after="100" w:afterAutospacing="1"/>
      <w:outlineLvl w:val="1"/>
    </w:pPr>
    <w:rPr>
      <w:rFonts w:ascii="Verdana" w:hAnsi="Verdana" w:cs="Verdana"/>
      <w:b/>
      <w:bCs/>
      <w:i/>
      <w:iCs/>
      <w:color w:val="auto"/>
      <w:sz w:val="28"/>
      <w:szCs w:val="2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Pr>
      <w:color w:val="002200"/>
      <w:u w:val="none"/>
      <w:effect w:val="none"/>
      <w:shd w:val="clear" w:color="auto" w:fill="DDFFFF"/>
    </w:rPr>
  </w:style>
  <w:style w:type="character" w:styleId="a4">
    <w:name w:val="FollowedHyperlink"/>
    <w:uiPriority w:val="99"/>
    <w:rPr>
      <w:color w:val="336666"/>
      <w:u w:val="none"/>
      <w:effect w:val="none"/>
      <w:shd w:val="clear" w:color="auto" w:fill="auto"/>
    </w:rPr>
  </w:style>
  <w:style w:type="paragraph" w:styleId="a5">
    <w:name w:val="Normal (Web)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color w:val="001100"/>
    </w:rPr>
  </w:style>
  <w:style w:type="paragraph" w:customStyle="1" w:styleId="hdr">
    <w:name w:val="hdr"/>
    <w:basedOn w:val="a"/>
    <w:uiPriority w:val="99"/>
    <w:pPr>
      <w:shd w:val="clear" w:color="auto" w:fill="FFFFFF"/>
      <w:spacing w:before="100" w:beforeAutospacing="1" w:after="100" w:afterAutospacing="1"/>
      <w:ind w:firstLine="480"/>
      <w:jc w:val="right"/>
    </w:pPr>
    <w:rPr>
      <w:rFonts w:ascii="Verdana" w:hAnsi="Verdana" w:cs="Verdana"/>
      <w:b/>
      <w:bCs/>
      <w:i/>
      <w:iCs/>
      <w:color w:val="001100"/>
    </w:rPr>
  </w:style>
  <w:style w:type="paragraph" w:customStyle="1" w:styleId="authors">
    <w:name w:val="authors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i/>
      <w:iCs/>
      <w:color w:val="001100"/>
    </w:rPr>
  </w:style>
  <w:style w:type="paragraph" w:customStyle="1" w:styleId="genre">
    <w:name w:val="genre"/>
    <w:basedOn w:val="a"/>
    <w:uiPriority w:val="99"/>
    <w:pPr>
      <w:spacing w:before="100" w:beforeAutospacing="1" w:after="100" w:afterAutospacing="1"/>
      <w:ind w:firstLine="480"/>
      <w:jc w:val="center"/>
    </w:pPr>
    <w:rPr>
      <w:rFonts w:ascii="Verdana" w:hAnsi="Verdana" w:cs="Verdana"/>
      <w:smallCaps/>
      <w:color w:val="001100"/>
      <w:spacing w:val="48"/>
    </w:rPr>
  </w:style>
  <w:style w:type="paragraph" w:customStyle="1" w:styleId="affiliation">
    <w:name w:val="affiliation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i/>
      <w:iCs/>
      <w:color w:val="001100"/>
      <w:sz w:val="19"/>
      <w:szCs w:val="19"/>
    </w:rPr>
  </w:style>
  <w:style w:type="paragraph" w:customStyle="1" w:styleId="source">
    <w:name w:val="source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i/>
      <w:iCs/>
      <w:color w:val="001100"/>
      <w:sz w:val="17"/>
      <w:szCs w:val="17"/>
    </w:rPr>
  </w:style>
  <w:style w:type="paragraph" w:customStyle="1" w:styleId="abstract">
    <w:name w:val="abstract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b/>
      <w:bCs/>
      <w:color w:val="001100"/>
      <w:sz w:val="22"/>
      <w:szCs w:val="22"/>
    </w:rPr>
  </w:style>
  <w:style w:type="paragraph" w:customStyle="1" w:styleId="figure">
    <w:name w:val="figure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color w:val="auto"/>
      <w:sz w:val="22"/>
      <w:szCs w:val="22"/>
    </w:rPr>
  </w:style>
  <w:style w:type="paragraph" w:customStyle="1" w:styleId="comment">
    <w:name w:val="comment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Verdana" w:hAnsi="Verdana" w:cs="Verdana"/>
      <w:color w:val="336666"/>
      <w:sz w:val="20"/>
      <w:szCs w:val="20"/>
    </w:rPr>
  </w:style>
  <w:style w:type="paragraph" w:customStyle="1" w:styleId="footnote">
    <w:name w:val="footnote"/>
    <w:basedOn w:val="a"/>
    <w:uiPriority w:val="99"/>
    <w:pPr>
      <w:shd w:val="clear" w:color="auto" w:fill="FFFFFF"/>
      <w:spacing w:before="100" w:beforeAutospacing="1" w:after="100" w:afterAutospacing="1"/>
      <w:ind w:hanging="240"/>
    </w:pPr>
    <w:rPr>
      <w:rFonts w:ascii="Verdana" w:hAnsi="Verdana" w:cs="Verdana"/>
      <w:color w:val="336666"/>
      <w:sz w:val="20"/>
      <w:szCs w:val="20"/>
    </w:rPr>
  </w:style>
  <w:style w:type="paragraph" w:customStyle="1" w:styleId="section">
    <w:name w:val="section"/>
    <w:basedOn w:val="a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Verdana" w:hAnsi="Verdana" w:cs="Verdana"/>
      <w:smallCaps/>
      <w:color w:val="auto"/>
      <w:spacing w:val="240"/>
      <w:sz w:val="30"/>
      <w:szCs w:val="30"/>
    </w:rPr>
  </w:style>
  <w:style w:type="paragraph" w:customStyle="1" w:styleId="chapter">
    <w:name w:val="chapter"/>
    <w:basedOn w:val="a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Verdana" w:hAnsi="Verdana" w:cs="Verdana"/>
      <w:color w:val="550000"/>
      <w:sz w:val="36"/>
      <w:szCs w:val="36"/>
    </w:rPr>
  </w:style>
  <w:style w:type="paragraph" w:customStyle="1" w:styleId="topic">
    <w:name w:val="topic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color w:val="auto"/>
      <w:sz w:val="29"/>
      <w:szCs w:val="29"/>
    </w:rPr>
  </w:style>
  <w:style w:type="paragraph" w:customStyle="1" w:styleId="subtopic">
    <w:name w:val="subtopic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b/>
      <w:bCs/>
      <w:color w:val="auto"/>
      <w:sz w:val="28"/>
      <w:szCs w:val="28"/>
    </w:rPr>
  </w:style>
  <w:style w:type="paragraph" w:styleId="a6">
    <w:name w:val="List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color w:val="001100"/>
    </w:rPr>
  </w:style>
  <w:style w:type="paragraph" w:customStyle="1" w:styleId="tablehead">
    <w:name w:val="tablehead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color w:val="333366"/>
    </w:rPr>
  </w:style>
  <w:style w:type="paragraph" w:customStyle="1" w:styleId="updated">
    <w:name w:val="updated"/>
    <w:basedOn w:val="a"/>
    <w:uiPriority w:val="99"/>
    <w:pPr>
      <w:shd w:val="clear" w:color="auto" w:fill="FFFFFF"/>
      <w:spacing w:before="100" w:beforeAutospacing="1" w:after="100" w:afterAutospacing="1"/>
      <w:ind w:firstLine="480"/>
      <w:jc w:val="center"/>
    </w:pPr>
    <w:rPr>
      <w:rFonts w:ascii="Verdana" w:hAnsi="Verdana" w:cs="Verdana"/>
      <w:color w:val="auto"/>
      <w:sz w:val="16"/>
      <w:szCs w:val="16"/>
    </w:rPr>
  </w:style>
  <w:style w:type="paragraph" w:customStyle="1" w:styleId="c">
    <w:name w:val="c"/>
    <w:basedOn w:val="a"/>
    <w:uiPriority w:val="99"/>
    <w:pPr>
      <w:shd w:val="clear" w:color="auto" w:fill="FFFFFF"/>
      <w:spacing w:before="100" w:beforeAutospacing="1" w:after="100" w:afterAutospacing="1"/>
      <w:ind w:firstLine="480"/>
      <w:jc w:val="center"/>
    </w:pPr>
    <w:rPr>
      <w:rFonts w:ascii="Verdana" w:hAnsi="Verdana" w:cs="Verdana"/>
      <w:color w:val="001100"/>
    </w:rPr>
  </w:style>
  <w:style w:type="paragraph" w:customStyle="1" w:styleId="symbol">
    <w:name w:val="symbol"/>
    <w:basedOn w:val="a"/>
    <w:uiPriority w:val="99"/>
    <w:pPr>
      <w:shd w:val="clear" w:color="auto" w:fill="FFFFFF"/>
      <w:spacing w:before="100" w:beforeAutospacing="1" w:after="100" w:afterAutospacing="1"/>
      <w:ind w:firstLine="480"/>
    </w:pPr>
    <w:rPr>
      <w:rFonts w:ascii="Symbol" w:hAnsi="Symbol" w:cs="Symbol"/>
      <w:color w:val="001100"/>
    </w:rPr>
  </w:style>
  <w:style w:type="paragraph" w:customStyle="1" w:styleId="formula">
    <w:name w:val="formula"/>
    <w:basedOn w:val="a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Verdana" w:hAnsi="Verdana" w:cs="Verdana"/>
      <w:sz w:val="22"/>
      <w:szCs w:val="22"/>
    </w:rPr>
  </w:style>
  <w:style w:type="character" w:customStyle="1" w:styleId="symbol1">
    <w:name w:val="symbol1"/>
    <w:uiPriority w:val="99"/>
    <w:rPr>
      <w:rFonts w:ascii="Symbol" w:hAnsi="Symbol" w:cs="Symbol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28"/>
      <w:szCs w:val="28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14855</Words>
  <Characters>8468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17. Архебактерии: общая характеристика</vt:lpstr>
    </vt:vector>
  </TitlesOfParts>
  <Company>KM</Company>
  <LinksUpToDate>false</LinksUpToDate>
  <CharactersWithSpaces>23277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17. Архебактерии: общая характеристика</dc:title>
  <dc:subject/>
  <dc:creator>N/A</dc:creator>
  <cp:keywords/>
  <dc:description/>
  <cp:lastModifiedBy>admin</cp:lastModifiedBy>
  <cp:revision>2</cp:revision>
  <dcterms:created xsi:type="dcterms:W3CDTF">2014-01-27T12:50:00Z</dcterms:created>
  <dcterms:modified xsi:type="dcterms:W3CDTF">2014-01-27T12:50:00Z</dcterms:modified>
</cp:coreProperties>
</file>