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F0" w:rsidRDefault="00ED15F0" w:rsidP="008A3149">
      <w:pPr>
        <w:spacing w:line="360" w:lineRule="auto"/>
        <w:ind w:firstLine="709"/>
        <w:jc w:val="both"/>
        <w:rPr>
          <w:b/>
          <w:sz w:val="28"/>
          <w:szCs w:val="26"/>
        </w:rPr>
      </w:pPr>
      <w:r w:rsidRPr="008A3149">
        <w:rPr>
          <w:b/>
          <w:sz w:val="28"/>
          <w:szCs w:val="26"/>
        </w:rPr>
        <w:t>Содержание</w:t>
      </w:r>
    </w:p>
    <w:p w:rsidR="008A3149" w:rsidRPr="008A3149" w:rsidRDefault="008A3149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8A3149" w:rsidRPr="008A3149" w:rsidRDefault="008A3149" w:rsidP="008A3149">
      <w:pPr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Введение</w:t>
      </w:r>
    </w:p>
    <w:p w:rsidR="008A3149" w:rsidRPr="008A3149" w:rsidRDefault="008A3149" w:rsidP="008A3149">
      <w:pPr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1. Основы правового регулирования факторинга</w:t>
      </w:r>
    </w:p>
    <w:p w:rsidR="008A3149" w:rsidRPr="008A3149" w:rsidRDefault="008A3149" w:rsidP="008A3149">
      <w:pPr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2. Финансово-экономическая сущность факторинга</w:t>
      </w:r>
    </w:p>
    <w:p w:rsidR="008A3149" w:rsidRPr="008A3149" w:rsidRDefault="008A3149" w:rsidP="008A3149">
      <w:pPr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2.1 Понятие факторинга и его сущность</w:t>
      </w:r>
    </w:p>
    <w:p w:rsidR="008A3149" w:rsidRPr="008A3149" w:rsidRDefault="008A3149" w:rsidP="008A3149">
      <w:pPr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2.2 Виды факторинга</w:t>
      </w:r>
    </w:p>
    <w:p w:rsidR="008A3149" w:rsidRPr="008A3149" w:rsidRDefault="008A3149" w:rsidP="008A3149">
      <w:pPr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3. Проблемы и перспективы развития рынка факторинга</w:t>
      </w:r>
    </w:p>
    <w:p w:rsidR="008A3149" w:rsidRPr="008A3149" w:rsidRDefault="001E5B76" w:rsidP="008A3149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3.1 Тенденции </w:t>
      </w:r>
      <w:r w:rsidR="008A3149" w:rsidRPr="008A3149">
        <w:rPr>
          <w:sz w:val="28"/>
          <w:szCs w:val="26"/>
        </w:rPr>
        <w:t>развития российского рынка факторинга</w:t>
      </w:r>
    </w:p>
    <w:p w:rsidR="008A3149" w:rsidRPr="008A3149" w:rsidRDefault="008A3149" w:rsidP="008A3149">
      <w:pPr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3.2 Перспективы развития российского рынка факторинга</w:t>
      </w:r>
    </w:p>
    <w:p w:rsidR="008A3149" w:rsidRPr="008A3149" w:rsidRDefault="008A3149" w:rsidP="008A3149">
      <w:pPr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Заключение</w:t>
      </w:r>
    </w:p>
    <w:p w:rsidR="008A3149" w:rsidRPr="008A3149" w:rsidRDefault="008A3149" w:rsidP="008A3149">
      <w:pPr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Список литературы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ED15F0" w:rsidRPr="007F06D7" w:rsidRDefault="00577399" w:rsidP="008A3149">
      <w:pPr>
        <w:spacing w:line="360" w:lineRule="auto"/>
        <w:ind w:firstLine="709"/>
        <w:jc w:val="both"/>
        <w:rPr>
          <w:b/>
          <w:color w:val="FFFFFF"/>
          <w:sz w:val="28"/>
          <w:szCs w:val="26"/>
        </w:rPr>
      </w:pPr>
      <w:r w:rsidRPr="007F06D7">
        <w:rPr>
          <w:b/>
          <w:color w:val="FFFFFF"/>
          <w:sz w:val="28"/>
          <w:szCs w:val="26"/>
        </w:rPr>
        <w:t xml:space="preserve">факторинг </w:t>
      </w:r>
      <w:r w:rsidR="005A35F4" w:rsidRPr="007F06D7">
        <w:rPr>
          <w:b/>
          <w:color w:val="FFFFFF"/>
          <w:sz w:val="28"/>
          <w:szCs w:val="26"/>
        </w:rPr>
        <w:t>финансирование услуга</w:t>
      </w:r>
    </w:p>
    <w:p w:rsidR="00ED15F0" w:rsidRPr="008A3149" w:rsidRDefault="00ED15F0" w:rsidP="008A3149">
      <w:pPr>
        <w:pStyle w:val="1"/>
        <w:keepNext w:val="0"/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br w:type="page"/>
      </w:r>
      <w:bookmarkStart w:id="0" w:name="_Toc68180428"/>
      <w:bookmarkStart w:id="1" w:name="_Toc68186072"/>
      <w:bookmarkStart w:id="2" w:name="_Toc276933732"/>
      <w:r w:rsidRPr="008A3149">
        <w:rPr>
          <w:sz w:val="28"/>
          <w:szCs w:val="26"/>
        </w:rPr>
        <w:t>Введение</w:t>
      </w:r>
      <w:bookmarkEnd w:id="0"/>
      <w:bookmarkEnd w:id="1"/>
      <w:bookmarkEnd w:id="2"/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CD2568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условиях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инфляции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нарушения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платежной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дисциплины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предприятия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вынуждены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вести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поиск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путей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своевременного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взыскания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дебиторской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задолженности</w:t>
      </w:r>
      <w:r w:rsidRPr="008A3149">
        <w:rPr>
          <w:sz w:val="28"/>
          <w:szCs w:val="26"/>
        </w:rPr>
        <w:t>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эффективных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способов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решения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проблемы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услуга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финансированию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оборотных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активов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управлению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дебиторской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задолженностью.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это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совокупность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услуг,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оказываемых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кредитной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организацией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(финансовым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агентом)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предприятиям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(клиентам),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предоставляющим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коммерческий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кредит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другим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организациям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(должникам).</w:t>
      </w:r>
    </w:p>
    <w:p w:rsidR="00CD2568" w:rsidRPr="008A3149" w:rsidRDefault="00CD2568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Наиболее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успешно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развивается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когда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неохотно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кредитуют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организации,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период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экономических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кризисов.</w:t>
      </w:r>
    </w:p>
    <w:p w:rsidR="005C6329" w:rsidRPr="008A3149" w:rsidRDefault="005C6329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Факторинговое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обслуживание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наиболее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полезно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малых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средних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предприятий,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потому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отличие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крупных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организаций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они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испытывают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особые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трудности,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связанные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сбытом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продукции,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однако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настоящее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являются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крупные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предприятия.</w:t>
      </w:r>
    </w:p>
    <w:p w:rsidR="00CD2568" w:rsidRPr="008A3149" w:rsidRDefault="00CD2568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Актуальность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темы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очевидна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последнее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когда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существенно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обострился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кризис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неплатежей.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Многие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предприятия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становятся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заложниками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большой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цепочки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должников,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каждый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участник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одновременно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дебитором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кредитором.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случае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вмешательство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посредника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(банка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фактор-фирмы)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помогает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решить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проблемы,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разомкнуть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круг,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самым,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возможность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предприятиям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занять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непоколебимое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положение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производителей.</w:t>
      </w:r>
    </w:p>
    <w:p w:rsidR="00002323" w:rsidRPr="008A3149" w:rsidRDefault="00002323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настоящее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деятельность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регулируется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различных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сторон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рамках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действующего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законодательства: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налогового;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административного;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законодательства,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регулирующего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деятельность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коммерческих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организаций;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банковского;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уголовного;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законодательства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противодействии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отмыванию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доходов,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полученных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преступным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путем.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Несмотря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сегодня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существует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множество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нерешенных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вопросов,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касающихся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регулирования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Целью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работы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рассмотрение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финансово-экономической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сущности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факторинга.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реализации</w:t>
      </w:r>
      <w:r w:rsidR="008A3149">
        <w:rPr>
          <w:sz w:val="28"/>
          <w:szCs w:val="26"/>
        </w:rPr>
        <w:t xml:space="preserve"> </w:t>
      </w:r>
      <w:r w:rsidR="00CD2568" w:rsidRPr="008A3149">
        <w:rPr>
          <w:sz w:val="28"/>
          <w:szCs w:val="26"/>
        </w:rPr>
        <w:t>поставленной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цели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работе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сформулированы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следующие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задачи:</w:t>
      </w:r>
    </w:p>
    <w:p w:rsidR="00723372" w:rsidRPr="008A3149" w:rsidRDefault="00723372" w:rsidP="008A3149">
      <w:pPr>
        <w:numPr>
          <w:ilvl w:val="0"/>
          <w:numId w:val="12"/>
        </w:numPr>
        <w:tabs>
          <w:tab w:val="clear" w:pos="1320"/>
          <w:tab w:val="num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Определить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правовую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регулирования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России.</w:t>
      </w:r>
    </w:p>
    <w:p w:rsidR="00ED15F0" w:rsidRPr="008A3149" w:rsidRDefault="00ED15F0" w:rsidP="008A3149">
      <w:pPr>
        <w:numPr>
          <w:ilvl w:val="0"/>
          <w:numId w:val="12"/>
        </w:numPr>
        <w:tabs>
          <w:tab w:val="clear" w:pos="1320"/>
          <w:tab w:val="num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Раскрыт</w:t>
      </w:r>
      <w:r w:rsidR="006D62D2" w:rsidRPr="008A3149">
        <w:rPr>
          <w:sz w:val="28"/>
          <w:szCs w:val="26"/>
        </w:rPr>
        <w:t>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поняти</w:t>
      </w:r>
      <w:r w:rsidR="006D62D2" w:rsidRPr="008A3149">
        <w:rPr>
          <w:sz w:val="28"/>
          <w:szCs w:val="26"/>
        </w:rPr>
        <w:t>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="006D62D2" w:rsidRPr="008A3149">
        <w:rPr>
          <w:sz w:val="28"/>
          <w:szCs w:val="26"/>
        </w:rPr>
        <w:t>сущности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функций.</w:t>
      </w:r>
    </w:p>
    <w:p w:rsidR="00ED15F0" w:rsidRPr="008A3149" w:rsidRDefault="00723372" w:rsidP="008A3149">
      <w:pPr>
        <w:numPr>
          <w:ilvl w:val="0"/>
          <w:numId w:val="12"/>
        </w:numPr>
        <w:tabs>
          <w:tab w:val="clear" w:pos="1320"/>
          <w:tab w:val="num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Привести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ED15F0" w:rsidRPr="008A3149">
        <w:rPr>
          <w:sz w:val="28"/>
          <w:szCs w:val="26"/>
        </w:rPr>
        <w:t>лассификаци</w:t>
      </w:r>
      <w:r w:rsidRPr="008A3149">
        <w:rPr>
          <w:sz w:val="28"/>
          <w:szCs w:val="26"/>
        </w:rPr>
        <w:t>ю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услуг.</w:t>
      </w:r>
    </w:p>
    <w:p w:rsidR="00723372" w:rsidRPr="008A3149" w:rsidRDefault="006D62D2" w:rsidP="008A3149">
      <w:pPr>
        <w:numPr>
          <w:ilvl w:val="0"/>
          <w:numId w:val="12"/>
        </w:numPr>
        <w:tabs>
          <w:tab w:val="clear" w:pos="1320"/>
          <w:tab w:val="num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Рассмотреть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проблемы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перспективы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международного.</w:t>
      </w:r>
    </w:p>
    <w:p w:rsidR="000F3525" w:rsidRPr="008A3149" w:rsidRDefault="006D62D2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заключение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приведены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выводы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работе.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A22760" w:rsidRPr="008A3149" w:rsidRDefault="00ED15F0" w:rsidP="008A3149">
      <w:pPr>
        <w:pStyle w:val="1"/>
        <w:keepNext w:val="0"/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br w:type="page"/>
      </w:r>
      <w:bookmarkStart w:id="3" w:name="_Toc276933733"/>
      <w:bookmarkStart w:id="4" w:name="_Toc68186073"/>
      <w:r w:rsidRPr="008A3149">
        <w:rPr>
          <w:sz w:val="28"/>
          <w:szCs w:val="26"/>
        </w:rPr>
        <w:t>1.</w:t>
      </w:r>
      <w:r w:rsidR="008A3149">
        <w:rPr>
          <w:sz w:val="28"/>
          <w:szCs w:val="26"/>
        </w:rPr>
        <w:t xml:space="preserve"> </w:t>
      </w:r>
      <w:r w:rsidR="00230CF6" w:rsidRPr="008A3149">
        <w:rPr>
          <w:sz w:val="28"/>
          <w:szCs w:val="26"/>
        </w:rPr>
        <w:t>Основы</w:t>
      </w:r>
      <w:r w:rsidR="008A3149">
        <w:rPr>
          <w:sz w:val="28"/>
          <w:szCs w:val="26"/>
        </w:rPr>
        <w:t xml:space="preserve"> </w:t>
      </w:r>
      <w:r w:rsidR="00230CF6" w:rsidRPr="008A3149">
        <w:rPr>
          <w:sz w:val="28"/>
          <w:szCs w:val="26"/>
        </w:rPr>
        <w:t>правового</w:t>
      </w:r>
      <w:r w:rsidR="008A3149">
        <w:rPr>
          <w:sz w:val="28"/>
          <w:szCs w:val="26"/>
        </w:rPr>
        <w:t xml:space="preserve"> </w:t>
      </w:r>
      <w:r w:rsidR="00230CF6" w:rsidRPr="008A3149">
        <w:rPr>
          <w:sz w:val="28"/>
          <w:szCs w:val="26"/>
        </w:rPr>
        <w:t>регулирования</w:t>
      </w:r>
      <w:r w:rsidR="008A3149">
        <w:rPr>
          <w:sz w:val="28"/>
          <w:szCs w:val="26"/>
        </w:rPr>
        <w:t xml:space="preserve"> </w:t>
      </w:r>
      <w:r w:rsidR="00230CF6" w:rsidRPr="008A3149">
        <w:rPr>
          <w:sz w:val="28"/>
          <w:szCs w:val="26"/>
        </w:rPr>
        <w:t>факторинга</w:t>
      </w:r>
      <w:bookmarkEnd w:id="3"/>
    </w:p>
    <w:bookmarkEnd w:id="4"/>
    <w:p w:rsidR="005C1F03" w:rsidRPr="008A3149" w:rsidRDefault="005C1F03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Отдельные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элементы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факторских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операций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появились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еще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XIII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XVI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веках.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Рассматривая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историю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возникновения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операций,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А.С.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Комаров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указывает,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первоначально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назывались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комиссионные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(торговые)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агенты,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функции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входила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только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реализация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товаров,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производимых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принципалом,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предоставление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авансов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производства.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Комиссионер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продавал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товары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выставлял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счета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имени,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указывая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имени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принципала.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Если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продавал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принимал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предоставляя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дополнительное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вознаграждение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гарантию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получения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платежа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(делькредере).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позднем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историческом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этапе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некоторые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комиссионные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агенты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отказались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коммерческих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функций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сосредоточились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сторонах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обслуживания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Постепенно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перешли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прямой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покупке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платежных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(выставленных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покупателям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счетов-фактур).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Широкое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начале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XX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века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было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вызвано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усилением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инфляционных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процессов,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требовало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ускорения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реализации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перевода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капитала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товарной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форму.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Именно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причины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привели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вытеснению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коммерческого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вексельной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форме.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Наибольшее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распространение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подобные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операции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получили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США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40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50-х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годах.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Осуществлялись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они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крупными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("Бэнк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оф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Америка",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"Ферст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нэшнл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бэнк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оф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Бостон").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Однако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официально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операции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были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признаны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США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1963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году,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когда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правительственный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орган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контролю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обращением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признал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операции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законным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банковской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деятельности.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Европе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подобные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операции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стали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проводиться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60-х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годах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получили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наибольшее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распространение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конце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80-х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годов.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деятельность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посредников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осуществлялась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либо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специализированными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организациями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Факторинговые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операции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приобрели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исключительно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широкое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распространение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международной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коммерческой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практике.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Вместе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участники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оборота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столкнулись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ситуацией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отсутствия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регулирования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отношений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обслуживанию.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континентальном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европейском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специальные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нормы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отсутствовали,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отношения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сторон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регулировались,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правило,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общими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нормами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обязательственного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права.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условиях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явственно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обозначилась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потребность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разработке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норм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регулирующих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международные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операции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1988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международной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конференции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Оттаве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была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принята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  <w:u w:val="single"/>
        </w:rPr>
        <w:t>Конвенция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международном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(Оттавская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конвенция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1988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года),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подготовленная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Международным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институтом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унификации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частного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(УНИДРУА).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Конвенция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выполнила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две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важнейшие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задачи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выработала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учетом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имеющегося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опыта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национального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регулирования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ряд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унифицированных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норм,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урегулировала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многие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вопросы,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имевшие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решения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национальных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системах.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частности,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применительно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рамках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были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решены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вопросы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действительности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всех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текущих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будущих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действии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условий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недопустимости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т.д.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ряду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возникающих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практике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сложных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вопросов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Конвенции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удалось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найти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взаимоприемлемого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решения.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частности,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осталась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неурегулированной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очередность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удовлетворения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(цессионария)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третьих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сторон.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образом,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Конвенция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лишь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определенной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степени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выполнила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задачу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унификации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норм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Попытки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внедрить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почве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привели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появлению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письма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Госбанка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СССР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12.12.89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№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252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порядке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осуществления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операций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получения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платежа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платежным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поставленные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товары,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выполненные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работы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оказанные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услуги".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письмо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предусматривало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лишь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случаи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переуступки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просроченных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–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производилась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только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после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получения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плательщика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извещения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помещении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платежных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картотеку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№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(расчетные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документы,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оплаченные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срок).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уровне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закона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впервые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был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урегулирован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частью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второй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Гражданского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кодекса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Федерации,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введенной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действие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марта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1996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</w:t>
      </w:r>
    </w:p>
    <w:p w:rsidR="00242167" w:rsidRPr="008A3149" w:rsidRDefault="00242167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РФ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термин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"факторинг"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используется.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Постановлением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Президиума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ВАС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РФ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06.02.2002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№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5659/01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указывается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соответствии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нормами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гл.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43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РФ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представляет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собой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требования.</w:t>
      </w:r>
    </w:p>
    <w:p w:rsidR="00ED15F0" w:rsidRPr="008A3149" w:rsidRDefault="00242167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очередь,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ED15F0" w:rsidRPr="008A3149">
        <w:rPr>
          <w:sz w:val="28"/>
          <w:szCs w:val="26"/>
        </w:rPr>
        <w:t>татья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824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ГК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РФ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определяет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договор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финансирования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под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уступку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денежного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требования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(факторинг)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как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договор,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силу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которого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финансовый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агент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передает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обязуется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передать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клиенту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денежные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средства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счет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денежного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требования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кредитора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должнику,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вытекающего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из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предоставления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клиентом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товаров,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выполнения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им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работ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оказания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услуг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третьему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лицу,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клиент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уступает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обязуется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уступить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финансовому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агенту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это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денежное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требование.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главе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гл.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43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РФ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(ст.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824-833)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изложены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частные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правила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регулирования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регулируется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общими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положениями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части,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противоречащей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специальным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предписаниям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существу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возникающих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обязательств.</w:t>
      </w:r>
    </w:p>
    <w:p w:rsidR="00242167" w:rsidRPr="008A3149" w:rsidRDefault="00B61DC4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Следует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напомнить,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соответствии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пунктом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статьи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329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РФ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исполнение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обязательств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обеспечиваться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неустойкой,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залогом,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удержанием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имущества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должника,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поручительством,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банковской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гарантией,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задатком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другими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способами,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предусмотренными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законом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договором.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образом,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фактически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речь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идет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играет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роль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именно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обеспечения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исполнения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обязательства.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Причем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наступления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обстоятельств,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указанных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(например,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неплатеж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кредиту),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переходит.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говорить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получает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некоторой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степени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условно,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т.е.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стороны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достигают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соглашения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наступлении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определенных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обстоятельств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перейдет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банку.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события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принадлежит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первоначальному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кредитору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(клиенту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банка).</w:t>
      </w:r>
    </w:p>
    <w:p w:rsidR="00F31CAC" w:rsidRPr="008A3149" w:rsidRDefault="00F31CA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Отметим,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недостаточно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урегулирован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РФ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предметом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споров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юристов-профессионалов.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обращено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внимание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пп.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2.2.1-2.2.4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Концепции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гражданского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законодательства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Федерации,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одобренной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решением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Совета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Президенте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РФ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кодификации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совершенствованию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гражданского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законодательства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07.10.2009.</w:t>
      </w:r>
    </w:p>
    <w:p w:rsidR="00F31CAC" w:rsidRPr="008A3149" w:rsidRDefault="00F31CA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Указано,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824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РФ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содержит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всех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признаков,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возможно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разграничение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другими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рамках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возможна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передача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связи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возникли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затруднения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круга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отношений,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распространяются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нормы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гл.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43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РФ.</w:t>
      </w:r>
    </w:p>
    <w:p w:rsidR="00F31CAC" w:rsidRPr="008A3149" w:rsidRDefault="00F31CA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Положения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гл.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43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РФ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практически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содержат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норм,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регулирующих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взаимоотношения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агента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договору.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частности,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решены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вопросы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порядке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исполнения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обязанностей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передаче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требования;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оплате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агента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выплате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процентов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пользование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предоставленными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средствами,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ответственности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агента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т.д.</w:t>
      </w:r>
    </w:p>
    <w:p w:rsidR="00F31CAC" w:rsidRPr="008A3149" w:rsidRDefault="00F31CA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связи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необходимо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уточнить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сферу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применения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положений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РФ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квалифицирующие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признаки,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необходимые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разграничения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указанного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другими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сделками,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рамках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передаются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вознаграждение.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Такими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признаками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могут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быть: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длящийся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характер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отношений,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предоставление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агентом,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помимо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(ведение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учета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задолженности,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инкассирование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задолженности,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страхование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клиента).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Следует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расширить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круг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обязательств,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могут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быть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предметом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урегулировать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взаимные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обязанности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агента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клиента.</w:t>
      </w:r>
    </w:p>
    <w:p w:rsidR="007C3016" w:rsidRPr="008A3149" w:rsidRDefault="007C3016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Положения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присутствуют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законодательстве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всех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членов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Европейского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союза,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гражданских,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торговых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кодексах.</w:t>
      </w:r>
    </w:p>
    <w:p w:rsidR="007C3016" w:rsidRDefault="007C3016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Очевидно,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успешного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качественного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необходимо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изучать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использовать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европейский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опыт.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Особенно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касается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вопросов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государственного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регулирования,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налогового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законодательства,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введения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законодательном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уровне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понятия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"факторинг".</w:t>
      </w:r>
    </w:p>
    <w:p w:rsidR="008A3149" w:rsidRDefault="008A3149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8A3149" w:rsidRPr="008A3149" w:rsidRDefault="008A3149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ED15F0" w:rsidRPr="008A3149" w:rsidRDefault="008A3149" w:rsidP="008A3149">
      <w:pPr>
        <w:spacing w:line="360" w:lineRule="auto"/>
        <w:ind w:firstLine="709"/>
        <w:jc w:val="both"/>
        <w:rPr>
          <w:b/>
          <w:sz w:val="28"/>
          <w:szCs w:val="26"/>
        </w:rPr>
      </w:pPr>
      <w:r>
        <w:rPr>
          <w:sz w:val="28"/>
          <w:szCs w:val="26"/>
        </w:rPr>
        <w:br w:type="page"/>
      </w:r>
      <w:bookmarkStart w:id="5" w:name="_Toc68180429"/>
      <w:bookmarkStart w:id="6" w:name="_Toc68186074"/>
      <w:bookmarkStart w:id="7" w:name="_Toc276933734"/>
      <w:r w:rsidR="00ED15F0" w:rsidRPr="008A3149">
        <w:rPr>
          <w:b/>
          <w:sz w:val="28"/>
          <w:szCs w:val="26"/>
        </w:rPr>
        <w:t>2.</w:t>
      </w:r>
      <w:r w:rsidRPr="008A3149">
        <w:rPr>
          <w:b/>
          <w:sz w:val="28"/>
          <w:szCs w:val="26"/>
        </w:rPr>
        <w:t xml:space="preserve"> </w:t>
      </w:r>
      <w:r w:rsidR="000F3525" w:rsidRPr="008A3149">
        <w:rPr>
          <w:b/>
          <w:sz w:val="28"/>
          <w:szCs w:val="26"/>
        </w:rPr>
        <w:t>Финансово-экономическая</w:t>
      </w:r>
      <w:r w:rsidRPr="008A3149">
        <w:rPr>
          <w:b/>
          <w:sz w:val="28"/>
          <w:szCs w:val="26"/>
        </w:rPr>
        <w:t xml:space="preserve"> </w:t>
      </w:r>
      <w:r w:rsidR="00ED15F0" w:rsidRPr="008A3149">
        <w:rPr>
          <w:b/>
          <w:sz w:val="28"/>
          <w:szCs w:val="26"/>
        </w:rPr>
        <w:t>сущность</w:t>
      </w:r>
      <w:r w:rsidRPr="008A3149">
        <w:rPr>
          <w:b/>
          <w:sz w:val="28"/>
          <w:szCs w:val="26"/>
        </w:rPr>
        <w:t xml:space="preserve"> </w:t>
      </w:r>
      <w:r w:rsidR="00ED15F0" w:rsidRPr="008A3149">
        <w:rPr>
          <w:b/>
          <w:sz w:val="28"/>
          <w:szCs w:val="26"/>
        </w:rPr>
        <w:t>факторинга</w:t>
      </w:r>
      <w:bookmarkEnd w:id="5"/>
      <w:bookmarkEnd w:id="6"/>
      <w:bookmarkEnd w:id="7"/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0F3525" w:rsidRPr="008A3149" w:rsidRDefault="008A3149" w:rsidP="008A3149">
      <w:pPr>
        <w:pStyle w:val="1"/>
        <w:keepNext w:val="0"/>
        <w:spacing w:line="360" w:lineRule="auto"/>
        <w:ind w:firstLine="709"/>
        <w:jc w:val="both"/>
        <w:rPr>
          <w:sz w:val="28"/>
          <w:szCs w:val="26"/>
        </w:rPr>
      </w:pPr>
      <w:bookmarkStart w:id="8" w:name="_Toc276933735"/>
      <w:r>
        <w:rPr>
          <w:sz w:val="28"/>
          <w:szCs w:val="26"/>
        </w:rPr>
        <w:t xml:space="preserve">2.1 </w:t>
      </w:r>
      <w:r w:rsidR="000F3525" w:rsidRPr="008A3149">
        <w:rPr>
          <w:sz w:val="28"/>
          <w:szCs w:val="26"/>
        </w:rPr>
        <w:t>Понятие</w:t>
      </w:r>
      <w:r>
        <w:rPr>
          <w:sz w:val="28"/>
          <w:szCs w:val="26"/>
        </w:rPr>
        <w:t xml:space="preserve"> </w:t>
      </w:r>
      <w:r w:rsidR="00336FBB" w:rsidRPr="008A3149">
        <w:rPr>
          <w:sz w:val="28"/>
          <w:szCs w:val="26"/>
        </w:rPr>
        <w:t>факторинга</w:t>
      </w:r>
      <w:r>
        <w:rPr>
          <w:sz w:val="28"/>
          <w:szCs w:val="26"/>
        </w:rPr>
        <w:t xml:space="preserve"> </w:t>
      </w:r>
      <w:r w:rsidR="00336FBB" w:rsidRPr="008A3149">
        <w:rPr>
          <w:sz w:val="28"/>
          <w:szCs w:val="26"/>
        </w:rPr>
        <w:t>и</w:t>
      </w:r>
      <w:r>
        <w:rPr>
          <w:sz w:val="28"/>
          <w:szCs w:val="26"/>
        </w:rPr>
        <w:t xml:space="preserve"> </w:t>
      </w:r>
      <w:r w:rsidR="00336FBB" w:rsidRPr="008A3149">
        <w:rPr>
          <w:sz w:val="28"/>
          <w:szCs w:val="26"/>
        </w:rPr>
        <w:t>его</w:t>
      </w:r>
      <w:r>
        <w:rPr>
          <w:sz w:val="28"/>
          <w:szCs w:val="26"/>
        </w:rPr>
        <w:t xml:space="preserve"> </w:t>
      </w:r>
      <w:r w:rsidR="00336FBB" w:rsidRPr="008A3149">
        <w:rPr>
          <w:sz w:val="28"/>
          <w:szCs w:val="26"/>
        </w:rPr>
        <w:t>сущность</w:t>
      </w:r>
      <w:bookmarkEnd w:id="8"/>
    </w:p>
    <w:p w:rsidR="000F3525" w:rsidRPr="008A3149" w:rsidRDefault="000F3525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b/>
          <w:bCs/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достаточно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новый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области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занимаются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специальные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тесно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связанные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являющиеся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дочерними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филиалами,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либо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банки.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представляет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собой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финансово-посредническую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операцию,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состоящую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посреднику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(банку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фирме)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покупателей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оплаты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поставленной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(работ,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услуг).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лежит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покупка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посредником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счетов-фактур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(поставщика)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условиях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частичной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оплаты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стоимости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отфактурованных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поставок.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лежит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покупка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(факторской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компанией)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счетов-фактур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условиях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немедленной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оплаты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части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стоимости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(70-90%)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отфактурованных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оплаты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остальной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части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вычетом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процента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обусловленные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сроки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независимо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поступления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выручки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дебиторов.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соответствии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Конвенцией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международном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факторинге,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принятой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1988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Международным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институтом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унификации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частного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операция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считается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если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удовлетворяет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следующих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признаков:</w:t>
      </w:r>
    </w:p>
    <w:p w:rsidR="00ED15F0" w:rsidRPr="008A3149" w:rsidRDefault="00ED15F0" w:rsidP="008A3149">
      <w:pPr>
        <w:numPr>
          <w:ilvl w:val="0"/>
          <w:numId w:val="14"/>
        </w:numPr>
        <w:tabs>
          <w:tab w:val="clear" w:pos="1320"/>
          <w:tab w:val="num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наличие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форме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предварительной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оплаты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требований;</w:t>
      </w:r>
    </w:p>
    <w:p w:rsidR="00ED15F0" w:rsidRPr="008A3149" w:rsidRDefault="00ED15F0" w:rsidP="008A3149">
      <w:pPr>
        <w:numPr>
          <w:ilvl w:val="0"/>
          <w:numId w:val="14"/>
        </w:numPr>
        <w:tabs>
          <w:tab w:val="clear" w:pos="1320"/>
          <w:tab w:val="num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оказание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ведению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бухгалтерского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учета,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прежде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всего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части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реализации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дебиторской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задолженности;</w:t>
      </w:r>
    </w:p>
    <w:p w:rsidR="00ED15F0" w:rsidRPr="008A3149" w:rsidRDefault="00ED15F0" w:rsidP="008A3149">
      <w:pPr>
        <w:numPr>
          <w:ilvl w:val="0"/>
          <w:numId w:val="14"/>
        </w:numPr>
        <w:tabs>
          <w:tab w:val="clear" w:pos="1320"/>
          <w:tab w:val="num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инкассирование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дебиторской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задолженности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поставщика;</w:t>
      </w:r>
    </w:p>
    <w:p w:rsidR="00ED15F0" w:rsidRPr="008A3149" w:rsidRDefault="00ED15F0" w:rsidP="008A3149">
      <w:pPr>
        <w:numPr>
          <w:ilvl w:val="0"/>
          <w:numId w:val="14"/>
        </w:numPr>
        <w:tabs>
          <w:tab w:val="clear" w:pos="1320"/>
          <w:tab w:val="num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страхование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риска.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Целью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обслуживания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кредиторов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своевременное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погашение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дебиторской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задолженности,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сокращение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потерь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из-за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задержки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платежей,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предотвращение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появления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сомнительных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повышение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ликвидности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предприятий.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будущее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перейти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посреднику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после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того,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возникло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само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получение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должника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средств.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Предприятие-кредитор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отвечает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неисполнение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ненадлежащее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исполнение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должником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являющегося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предметом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случае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предъявления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фактор-фирмой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исполнению,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если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предусмотрено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договором.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образом,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предусматривает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переуступку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любой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дебиторской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задолженности.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Применение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обслуживания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наиболее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эффективно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малых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средних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предприятий,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имеющих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перспективы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увеличения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производства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сталкивающихся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проблемой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временной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нехватки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средств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из-за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несвоевременного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погашения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дебиторами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трудностей,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связанных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производственным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процессом.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Поставщик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должен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производить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товары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оказывать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высокого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качество,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перспективы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быстрого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расширения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производства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увеличения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прибыли,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сугубо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временные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причины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нехватки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средств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из-за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несвоевременного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погашения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дебиторами,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недостаточного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уровня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прибыли,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чрезмерных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товарных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запасов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трудностей,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связанных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производственным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процессом,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значительной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мере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усложняют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хозяйственную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деятельность.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Факторинговому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обслуживанию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подлежат:</w:t>
      </w:r>
    </w:p>
    <w:p w:rsidR="00ED15F0" w:rsidRPr="008A3149" w:rsidRDefault="00ED15F0" w:rsidP="008A3149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предприятия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большим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количеством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дебиторов,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задолженность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каждого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выражается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небольшой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суммой;</w:t>
      </w:r>
    </w:p>
    <w:p w:rsidR="00ED15F0" w:rsidRPr="008A3149" w:rsidRDefault="00ED15F0" w:rsidP="008A3149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предприятия,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занимающиеся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производством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нестандартной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узкоспециализированной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продукции;</w:t>
      </w:r>
    </w:p>
    <w:p w:rsidR="00ED15F0" w:rsidRPr="008A3149" w:rsidRDefault="00ED15F0" w:rsidP="008A3149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строительные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другие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фирмы,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работающие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субподрядчиками;</w:t>
      </w:r>
    </w:p>
    <w:p w:rsidR="00ED15F0" w:rsidRPr="008A3149" w:rsidRDefault="00ED15F0" w:rsidP="008A3149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предприятия,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реализующие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продукцию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условиях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послепродажного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обслуживания,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практикующие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компенсационные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сделки;</w:t>
      </w:r>
    </w:p>
    <w:p w:rsidR="00ED15F0" w:rsidRPr="008A3149" w:rsidRDefault="00ED15F0" w:rsidP="008A3149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предприятия,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заключившие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своими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долгосрочные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контракты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выставляющие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счета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завершении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определенных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этапов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работ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осуществления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(авансовые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платежи).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Факторинговые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операции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производятся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долговым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обязательствам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физических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лиц,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филиалов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отделений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предприятий.</w:t>
      </w:r>
    </w:p>
    <w:p w:rsidR="005C6329" w:rsidRPr="008A3149" w:rsidRDefault="005C6329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Отмечаются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следующие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преимущества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кредита: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бессрочен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включает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оплату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целой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серии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течение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срока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действия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требуется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залог.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отсутствие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предполагает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отсутствие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расходов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оценку,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страховку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оформление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залоговых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документов.</w:t>
      </w:r>
    </w:p>
    <w:p w:rsidR="005C6329" w:rsidRPr="008A3149" w:rsidRDefault="005C6329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Можно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привести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следующие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преимущества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факторинга: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переуступка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заемщика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позволяет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быстрее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получить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средства,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минимизирует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случае,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если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заемщик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вернет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Кроме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того,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ввиду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кассовый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метод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использоваться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только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некоторыми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организациями,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методом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признания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доходов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расходов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целей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исчисления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налога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прибыль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метод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начисления,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поэтому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исключает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кассовые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разрывы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выполнении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налоговых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обязательств.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отражается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балансе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предприятия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форме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обязательства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позволяет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увеличивать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выручку.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Следовательно,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рейтинг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организации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растет,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стоимость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банковского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уменьшается.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Существует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возможность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отнесения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себестоимость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всех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комиссий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позволяет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уменьшать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налогооблагаемую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прибыль.</w:t>
      </w:r>
    </w:p>
    <w:p w:rsidR="005C6329" w:rsidRPr="008A3149" w:rsidRDefault="005C6329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Еще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преимуществом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использование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возможностей,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есть,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распоряжении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средства,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размер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растет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увеличением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продаж,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организация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возможность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закупать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продавать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больших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количествах,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обновлять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расширять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производственные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мощности,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выходить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сбыта.</w:t>
      </w:r>
    </w:p>
    <w:p w:rsidR="001E5B76" w:rsidRDefault="001E5B76" w:rsidP="008A3149">
      <w:pPr>
        <w:spacing w:line="360" w:lineRule="auto"/>
        <w:ind w:firstLine="709"/>
        <w:jc w:val="both"/>
        <w:rPr>
          <w:b/>
          <w:sz w:val="28"/>
          <w:szCs w:val="26"/>
        </w:rPr>
      </w:pPr>
      <w:bookmarkStart w:id="9" w:name="_Toc68186075"/>
      <w:bookmarkStart w:id="10" w:name="_Toc276933736"/>
    </w:p>
    <w:p w:rsidR="00ED15F0" w:rsidRPr="008A3149" w:rsidRDefault="008A3149" w:rsidP="008A3149">
      <w:pPr>
        <w:spacing w:line="360" w:lineRule="auto"/>
        <w:ind w:firstLine="709"/>
        <w:jc w:val="both"/>
        <w:rPr>
          <w:b/>
          <w:sz w:val="28"/>
          <w:szCs w:val="26"/>
        </w:rPr>
      </w:pPr>
      <w:r w:rsidRPr="008A3149">
        <w:rPr>
          <w:b/>
          <w:sz w:val="28"/>
          <w:szCs w:val="26"/>
        </w:rPr>
        <w:t xml:space="preserve">2.2 </w:t>
      </w:r>
      <w:r w:rsidR="00ED15F0" w:rsidRPr="008A3149">
        <w:rPr>
          <w:b/>
          <w:sz w:val="28"/>
          <w:szCs w:val="26"/>
        </w:rPr>
        <w:t>Виды</w:t>
      </w:r>
      <w:r w:rsidRPr="008A3149">
        <w:rPr>
          <w:b/>
          <w:sz w:val="28"/>
          <w:szCs w:val="26"/>
        </w:rPr>
        <w:t xml:space="preserve"> </w:t>
      </w:r>
      <w:r w:rsidR="00ED15F0" w:rsidRPr="008A3149">
        <w:rPr>
          <w:b/>
          <w:sz w:val="28"/>
          <w:szCs w:val="26"/>
        </w:rPr>
        <w:t>факторинга</w:t>
      </w:r>
      <w:bookmarkEnd w:id="9"/>
      <w:bookmarkEnd w:id="10"/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Классический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форме,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практикуется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всем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мире,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предполагает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наличие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коммерческого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товарной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форме,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предоставляемого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продавцами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покупателям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отсрочки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платежа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проданные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товары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оформляемого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открытым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счетом.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Открытый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счет,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когда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покупатель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выдает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продавцу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никакого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обязательства,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предполагает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Страхование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управление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коммерческого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способны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осуществить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именно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силу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предполагаемых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настоящее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выделяют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несколько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операций.</w:t>
      </w:r>
    </w:p>
    <w:p w:rsidR="00ED15F0" w:rsidRPr="008A3149" w:rsidRDefault="00ED15F0" w:rsidP="008A3149">
      <w:pPr>
        <w:numPr>
          <w:ilvl w:val="0"/>
          <w:numId w:val="17"/>
        </w:numPr>
        <w:tabs>
          <w:tab w:val="clear" w:pos="1320"/>
          <w:tab w:val="num" w:pos="-2280"/>
          <w:tab w:val="left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Внутренние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(если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т.е.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стороны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договору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купли-продажи,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фактор-фирма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находятся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стране)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международные.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Доля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внутреннего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без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финансирования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составляет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9%,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международный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приходится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1%.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Иными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словами,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основной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оборот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компаний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мира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приходится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внутренний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факторинг.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Это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объясняется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тем,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внутренний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дешевым,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чем</w:t>
      </w:r>
      <w:r w:rsidR="008A3149">
        <w:rPr>
          <w:sz w:val="28"/>
          <w:szCs w:val="26"/>
        </w:rPr>
        <w:t xml:space="preserve"> </w:t>
      </w:r>
      <w:r w:rsidR="00A822A9" w:rsidRPr="008A3149">
        <w:rPr>
          <w:sz w:val="28"/>
          <w:szCs w:val="26"/>
        </w:rPr>
        <w:t>международный.</w:t>
      </w:r>
    </w:p>
    <w:p w:rsidR="00ED15F0" w:rsidRPr="008A3149" w:rsidRDefault="00ED15F0" w:rsidP="008A3149">
      <w:pPr>
        <w:numPr>
          <w:ilvl w:val="0"/>
          <w:numId w:val="17"/>
        </w:numPr>
        <w:tabs>
          <w:tab w:val="clear" w:pos="1320"/>
          <w:tab w:val="num" w:pos="-2280"/>
          <w:tab w:val="left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Открытые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(если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должник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уведомлен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сделке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фактор-фирмы)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закрытые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(конфиденциальные).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Уведомление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должника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открытом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осуществляется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путем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соответствующей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записи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счете-фактуре,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подтверждающей,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правопреемником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возникающему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фактор-фирма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iCs/>
          <w:sz w:val="28"/>
          <w:szCs w:val="26"/>
        </w:rPr>
        <w:t>что</w:t>
      </w:r>
      <w:r w:rsidR="008A3149">
        <w:rPr>
          <w:iCs/>
          <w:sz w:val="28"/>
          <w:szCs w:val="26"/>
        </w:rPr>
        <w:t xml:space="preserve"> </w:t>
      </w:r>
      <w:r w:rsidRPr="008A3149">
        <w:rPr>
          <w:iCs/>
          <w:sz w:val="28"/>
          <w:szCs w:val="26"/>
        </w:rPr>
        <w:t>платежи</w:t>
      </w:r>
      <w:r w:rsidR="008A3149">
        <w:rPr>
          <w:iCs/>
          <w:sz w:val="28"/>
          <w:szCs w:val="26"/>
        </w:rPr>
        <w:t xml:space="preserve"> </w:t>
      </w:r>
      <w:r w:rsidRPr="008A3149">
        <w:rPr>
          <w:iCs/>
          <w:sz w:val="28"/>
          <w:szCs w:val="26"/>
        </w:rPr>
        <w:t>должны</w:t>
      </w:r>
      <w:r w:rsidR="008A3149">
        <w:rPr>
          <w:iCs/>
          <w:sz w:val="28"/>
          <w:szCs w:val="26"/>
        </w:rPr>
        <w:t xml:space="preserve"> </w:t>
      </w:r>
      <w:r w:rsidRPr="008A3149">
        <w:rPr>
          <w:iCs/>
          <w:sz w:val="28"/>
          <w:szCs w:val="26"/>
        </w:rPr>
        <w:t>осуществляться</w:t>
      </w:r>
      <w:r w:rsidR="008A3149">
        <w:rPr>
          <w:iCs/>
          <w:sz w:val="28"/>
          <w:szCs w:val="26"/>
        </w:rPr>
        <w:t xml:space="preserve"> </w:t>
      </w:r>
      <w:r w:rsidRPr="008A3149">
        <w:rPr>
          <w:iCs/>
          <w:sz w:val="28"/>
          <w:szCs w:val="26"/>
        </w:rPr>
        <w:t>в</w:t>
      </w:r>
      <w:r w:rsidR="008A3149">
        <w:rPr>
          <w:iCs/>
          <w:sz w:val="28"/>
          <w:szCs w:val="26"/>
        </w:rPr>
        <w:t xml:space="preserve"> </w:t>
      </w:r>
      <w:r w:rsidRPr="008A3149">
        <w:rPr>
          <w:iCs/>
          <w:sz w:val="28"/>
          <w:szCs w:val="26"/>
        </w:rPr>
        <w:t>ее</w:t>
      </w:r>
      <w:r w:rsidR="008A3149">
        <w:rPr>
          <w:iCs/>
          <w:sz w:val="28"/>
          <w:szCs w:val="26"/>
        </w:rPr>
        <w:t xml:space="preserve"> </w:t>
      </w:r>
      <w:r w:rsidRPr="008A3149">
        <w:rPr>
          <w:iCs/>
          <w:sz w:val="28"/>
          <w:szCs w:val="26"/>
        </w:rPr>
        <w:t>пользу</w:t>
      </w:r>
      <w:r w:rsidRPr="008A3149">
        <w:rPr>
          <w:sz w:val="28"/>
          <w:szCs w:val="26"/>
        </w:rPr>
        <w:t>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конфиденциальном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никто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контрагентов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осведомлен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кредитовании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продаж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фактор-фирмой.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случае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плательщик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ведет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расчеты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самим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после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получения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платежа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должен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перечислить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соответствующую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часть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погашения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кредита.</w:t>
      </w:r>
    </w:p>
    <w:p w:rsidR="008B546F" w:rsidRPr="008A3149" w:rsidRDefault="008B546F" w:rsidP="008A3149">
      <w:pPr>
        <w:numPr>
          <w:ilvl w:val="0"/>
          <w:numId w:val="17"/>
        </w:numPr>
        <w:tabs>
          <w:tab w:val="clear" w:pos="1320"/>
          <w:tab w:val="num" w:pos="-2280"/>
          <w:tab w:val="left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Различают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понятия,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когда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агент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потребовать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средства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товара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случае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неполучения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покупателей-должников,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без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когда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средств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весь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несет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агент.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втором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случае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стоимость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будет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намного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больше,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поэтому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наиболее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популярным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регрессом.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фактор-фирма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воспользоваться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желании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любое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неоплаченное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долговое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случае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отказа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платежа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неплатежеспособности).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условие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предусматривается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случае,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если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уверены,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могут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появиться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сомнительные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долговые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обязательства,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либо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они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достаточно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тщательно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оценивают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кредитоспособность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разработав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собственную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достаточно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эффективную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систему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защиты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либо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силу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специфики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другом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случае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считает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нужным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оплачивать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страхованию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рисков.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Однако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гарантированный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своевременный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приток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средств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обеспечиваться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только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заключении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соглашения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без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регресса.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Необходимо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отметить,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если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долговое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признано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недействительным,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фактор-фирма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любом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случае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поставщику.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настоящее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безрегрессный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почти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используется,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предоставляется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регрессом.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внутренний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приходится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77%,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внутренний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без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13%.</w:t>
      </w:r>
    </w:p>
    <w:p w:rsidR="00ED15F0" w:rsidRPr="008A3149" w:rsidRDefault="00ED15F0" w:rsidP="008A3149">
      <w:pPr>
        <w:numPr>
          <w:ilvl w:val="0"/>
          <w:numId w:val="17"/>
        </w:numPr>
        <w:tabs>
          <w:tab w:val="clear" w:pos="1320"/>
          <w:tab w:val="num" w:pos="-2280"/>
          <w:tab w:val="left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условием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кредитовании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форме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предварительной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оплаты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(до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80%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переуступаемых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требований),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оплаты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определенной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дате.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преимуществом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предварительной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оплаты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размер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представляет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собой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фиксированный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процент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суммы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требований.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образом,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автоматически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получает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больше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средств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увеличении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продаж.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отсутствие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предварительной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оплаты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сумма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переуступленных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минусом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издержек)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перечисляется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определенную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дату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истечении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определенного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срока.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современных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условиях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наиболее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универсальной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системой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обслуживания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конвенционный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(открытый)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практически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сохраняются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только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производственные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функции.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Поскольку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случае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фактор-фирм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могут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отказаться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сохранения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собственного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штата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служащих,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выполняющих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функции,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принимает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себя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фактор-фирма,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возникает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достаточно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существенная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экономия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средств.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экономия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сочетании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выгодами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«</w:t>
      </w:r>
      <w:r w:rsidRPr="008A3149">
        <w:rPr>
          <w:sz w:val="28"/>
          <w:szCs w:val="26"/>
        </w:rPr>
        <w:t>дисконтирования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фактур</w:t>
      </w:r>
      <w:r w:rsidR="008A3149">
        <w:rPr>
          <w:sz w:val="28"/>
          <w:szCs w:val="26"/>
        </w:rPr>
        <w:t xml:space="preserve">» </w:t>
      </w:r>
      <w:r w:rsidRPr="008A3149">
        <w:rPr>
          <w:sz w:val="28"/>
          <w:szCs w:val="26"/>
        </w:rPr>
        <w:t>компенсирует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высокую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стоимость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обслуживания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(0,75-3%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оборота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зависимости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размера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капитала,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положения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кредитоспособности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клиента).</w:t>
      </w:r>
    </w:p>
    <w:p w:rsidR="00326247" w:rsidRPr="008A3149" w:rsidRDefault="00186C16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Форфейтинг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—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специфическая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форма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состоящая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покупке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продавца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(экспортера)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товарных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векселей,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акцептованных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зарубежным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покупателем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(импортером).</w:t>
      </w:r>
      <w:r w:rsidR="008A3149">
        <w:rPr>
          <w:sz w:val="28"/>
          <w:szCs w:val="26"/>
        </w:rPr>
        <w:t xml:space="preserve"> </w:t>
      </w:r>
      <w:r w:rsidR="00326247" w:rsidRPr="008A3149">
        <w:rPr>
          <w:sz w:val="28"/>
          <w:szCs w:val="26"/>
        </w:rPr>
        <w:t>Форфейтинговыми</w:t>
      </w:r>
      <w:r w:rsidR="008A3149">
        <w:rPr>
          <w:sz w:val="28"/>
          <w:szCs w:val="26"/>
        </w:rPr>
        <w:t xml:space="preserve"> </w:t>
      </w:r>
      <w:r w:rsidR="00326247" w:rsidRPr="008A3149">
        <w:rPr>
          <w:sz w:val="28"/>
          <w:szCs w:val="26"/>
        </w:rPr>
        <w:t>услугами</w:t>
      </w:r>
      <w:r w:rsidR="008A3149">
        <w:rPr>
          <w:sz w:val="28"/>
          <w:szCs w:val="26"/>
        </w:rPr>
        <w:t xml:space="preserve"> </w:t>
      </w:r>
      <w:r w:rsidR="00326247" w:rsidRPr="008A3149">
        <w:rPr>
          <w:sz w:val="28"/>
          <w:szCs w:val="26"/>
        </w:rPr>
        <w:t>сегодня</w:t>
      </w:r>
      <w:r w:rsidR="008A3149">
        <w:rPr>
          <w:sz w:val="28"/>
          <w:szCs w:val="26"/>
        </w:rPr>
        <w:t xml:space="preserve"> </w:t>
      </w:r>
      <w:r w:rsidR="00326247" w:rsidRPr="008A3149">
        <w:rPr>
          <w:sz w:val="28"/>
          <w:szCs w:val="26"/>
        </w:rPr>
        <w:t>пользуются</w:t>
      </w:r>
      <w:r w:rsidR="008A3149">
        <w:rPr>
          <w:sz w:val="28"/>
          <w:szCs w:val="26"/>
        </w:rPr>
        <w:t xml:space="preserve"> </w:t>
      </w:r>
      <w:r w:rsidR="00326247"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="00326247" w:rsidRPr="008A3149">
        <w:rPr>
          <w:sz w:val="28"/>
          <w:szCs w:val="26"/>
        </w:rPr>
        <w:t>основном</w:t>
      </w:r>
      <w:r w:rsidR="008A3149">
        <w:rPr>
          <w:sz w:val="28"/>
          <w:szCs w:val="26"/>
        </w:rPr>
        <w:t xml:space="preserve"> </w:t>
      </w:r>
      <w:r w:rsidR="00326247" w:rsidRPr="008A3149">
        <w:rPr>
          <w:sz w:val="28"/>
          <w:szCs w:val="26"/>
        </w:rPr>
        <w:t>экспортеры</w:t>
      </w:r>
      <w:r w:rsidR="008A3149">
        <w:rPr>
          <w:sz w:val="28"/>
          <w:szCs w:val="26"/>
        </w:rPr>
        <w:t xml:space="preserve"> </w:t>
      </w:r>
      <w:r w:rsidR="00326247"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="00326247" w:rsidRPr="008A3149">
        <w:rPr>
          <w:sz w:val="28"/>
          <w:szCs w:val="26"/>
        </w:rPr>
        <w:t>реализации</w:t>
      </w:r>
      <w:r w:rsidR="008A3149">
        <w:rPr>
          <w:sz w:val="28"/>
          <w:szCs w:val="26"/>
        </w:rPr>
        <w:t xml:space="preserve"> </w:t>
      </w:r>
      <w:r w:rsidR="00326247" w:rsidRPr="008A3149">
        <w:rPr>
          <w:sz w:val="28"/>
          <w:szCs w:val="26"/>
        </w:rPr>
        <w:t>продукции</w:t>
      </w:r>
      <w:r w:rsidR="008A3149">
        <w:rPr>
          <w:sz w:val="28"/>
          <w:szCs w:val="26"/>
        </w:rPr>
        <w:t xml:space="preserve"> </w:t>
      </w:r>
      <w:r w:rsidR="00326247"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="00326247" w:rsidRPr="008A3149">
        <w:rPr>
          <w:sz w:val="28"/>
          <w:szCs w:val="26"/>
        </w:rPr>
        <w:t>внешнем</w:t>
      </w:r>
      <w:r w:rsidR="008A3149">
        <w:rPr>
          <w:sz w:val="28"/>
          <w:szCs w:val="26"/>
        </w:rPr>
        <w:t xml:space="preserve"> </w:t>
      </w:r>
      <w:r w:rsidR="00326247" w:rsidRPr="008A3149">
        <w:rPr>
          <w:sz w:val="28"/>
          <w:szCs w:val="26"/>
        </w:rPr>
        <w:t>рынке.</w:t>
      </w:r>
    </w:p>
    <w:p w:rsidR="00186C16" w:rsidRPr="008A3149" w:rsidRDefault="00186C16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условиям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форфейтинга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экспортер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переуступает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векселям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посреднику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(форфейтору),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сразу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выплачивает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всю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сумму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вычетом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комиссионного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вознаграждения.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отличие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обычного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учета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векселей,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форфейтинг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предполагает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переход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всех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расходов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дебиторской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задолженности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форфейтору.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Поэтому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последний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обычно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требует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предоставления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гарантий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солидного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находящегося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импортера.</w:t>
      </w:r>
    </w:p>
    <w:p w:rsidR="000664AD" w:rsidRPr="008A3149" w:rsidRDefault="00186C16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страхования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валютного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форфейторы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приобретают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устойчивых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иностранных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валютах.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Учетная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ставка,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являющаяся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формой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комиссионного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вознаграждения,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варьируется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зависимости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категории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должника,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срока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платежа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векселю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валюты.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Она,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правило,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выше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стоимости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остальных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обусловлено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простотой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процедуры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оформления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форфейтинговой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переходом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всех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форфейтору.</w:t>
      </w:r>
      <w:bookmarkStart w:id="11" w:name="_Toc68180431"/>
    </w:p>
    <w:p w:rsidR="00ED15F0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8A3149" w:rsidRPr="008A3149" w:rsidRDefault="008A3149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ED15F0" w:rsidRPr="008A3149" w:rsidRDefault="00614B9E" w:rsidP="008A3149">
      <w:pPr>
        <w:pStyle w:val="1"/>
        <w:keepNext w:val="0"/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br w:type="page"/>
      </w:r>
      <w:bookmarkStart w:id="12" w:name="_Toc276933737"/>
      <w:r w:rsidR="00ED15F0" w:rsidRPr="008A3149">
        <w:rPr>
          <w:sz w:val="28"/>
          <w:szCs w:val="26"/>
        </w:rPr>
        <w:t>3.</w:t>
      </w:r>
      <w:r w:rsidR="008A3149">
        <w:rPr>
          <w:sz w:val="28"/>
          <w:szCs w:val="26"/>
        </w:rPr>
        <w:t xml:space="preserve"> </w:t>
      </w:r>
      <w:r w:rsidR="00ED15F0" w:rsidRPr="008A3149">
        <w:rPr>
          <w:sz w:val="28"/>
          <w:szCs w:val="26"/>
        </w:rPr>
        <w:t>Проблемы</w:t>
      </w:r>
      <w:r w:rsidR="008A3149">
        <w:rPr>
          <w:sz w:val="28"/>
          <w:szCs w:val="26"/>
        </w:rPr>
        <w:t xml:space="preserve"> </w:t>
      </w:r>
      <w:r w:rsidR="00A72E81"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="00A72E81" w:rsidRPr="008A3149">
        <w:rPr>
          <w:sz w:val="28"/>
          <w:szCs w:val="26"/>
        </w:rPr>
        <w:t>перспективы</w:t>
      </w:r>
      <w:r w:rsidR="008A3149">
        <w:rPr>
          <w:sz w:val="28"/>
          <w:szCs w:val="26"/>
        </w:rPr>
        <w:t xml:space="preserve"> </w:t>
      </w:r>
      <w:r w:rsidR="00A72E81" w:rsidRPr="008A3149">
        <w:rPr>
          <w:sz w:val="28"/>
          <w:szCs w:val="26"/>
        </w:rPr>
        <w:t>развития</w:t>
      </w:r>
      <w:r w:rsidR="008A3149">
        <w:rPr>
          <w:sz w:val="28"/>
          <w:szCs w:val="26"/>
        </w:rPr>
        <w:t xml:space="preserve"> </w:t>
      </w:r>
      <w:r w:rsidR="00A72E81"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="00A72E81" w:rsidRPr="008A3149">
        <w:rPr>
          <w:sz w:val="28"/>
          <w:szCs w:val="26"/>
        </w:rPr>
        <w:t>факторинга</w:t>
      </w:r>
      <w:bookmarkEnd w:id="12"/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B0291D" w:rsidRPr="008A3149" w:rsidRDefault="008A3149" w:rsidP="008A3149">
      <w:pPr>
        <w:pStyle w:val="1"/>
        <w:keepNext w:val="0"/>
        <w:spacing w:line="360" w:lineRule="auto"/>
        <w:ind w:firstLine="709"/>
        <w:jc w:val="both"/>
        <w:rPr>
          <w:sz w:val="28"/>
          <w:szCs w:val="26"/>
        </w:rPr>
      </w:pPr>
      <w:bookmarkStart w:id="13" w:name="_Toc276933738"/>
      <w:r>
        <w:rPr>
          <w:sz w:val="28"/>
          <w:szCs w:val="26"/>
        </w:rPr>
        <w:t xml:space="preserve">3.1 </w:t>
      </w:r>
      <w:r w:rsidR="00B0291D" w:rsidRPr="008A3149">
        <w:rPr>
          <w:sz w:val="28"/>
          <w:szCs w:val="26"/>
        </w:rPr>
        <w:t>Тенденции</w:t>
      </w:r>
      <w:r>
        <w:rPr>
          <w:sz w:val="28"/>
          <w:szCs w:val="26"/>
        </w:rPr>
        <w:t xml:space="preserve"> </w:t>
      </w:r>
      <w:r w:rsidR="00B0291D" w:rsidRPr="008A3149">
        <w:rPr>
          <w:sz w:val="28"/>
          <w:szCs w:val="26"/>
        </w:rPr>
        <w:t>развития</w:t>
      </w:r>
      <w:r>
        <w:rPr>
          <w:sz w:val="28"/>
          <w:szCs w:val="26"/>
        </w:rPr>
        <w:t xml:space="preserve"> </w:t>
      </w:r>
      <w:r w:rsidR="00B0291D" w:rsidRPr="008A3149">
        <w:rPr>
          <w:sz w:val="28"/>
          <w:szCs w:val="26"/>
        </w:rPr>
        <w:t>российского</w:t>
      </w:r>
      <w:r>
        <w:rPr>
          <w:sz w:val="28"/>
          <w:szCs w:val="26"/>
        </w:rPr>
        <w:t xml:space="preserve"> </w:t>
      </w:r>
      <w:r w:rsidR="00B0291D" w:rsidRPr="008A3149">
        <w:rPr>
          <w:sz w:val="28"/>
          <w:szCs w:val="26"/>
        </w:rPr>
        <w:t>рынка</w:t>
      </w:r>
      <w:r>
        <w:rPr>
          <w:sz w:val="28"/>
          <w:szCs w:val="26"/>
        </w:rPr>
        <w:t xml:space="preserve"> </w:t>
      </w:r>
      <w:r w:rsidR="00B0291D" w:rsidRPr="008A3149">
        <w:rPr>
          <w:sz w:val="28"/>
          <w:szCs w:val="26"/>
        </w:rPr>
        <w:t>факторинга</w:t>
      </w:r>
      <w:bookmarkEnd w:id="13"/>
    </w:p>
    <w:p w:rsidR="00B0291D" w:rsidRPr="008A3149" w:rsidRDefault="00B0291D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C94306" w:rsidRPr="008A3149" w:rsidRDefault="00316C5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последние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стремительно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развивался,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увеличивалось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число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участников,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постоянно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появлялись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продукты.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кризис,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несомненно,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отразился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мировом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замедлив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темпы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роста.</w:t>
      </w:r>
    </w:p>
    <w:p w:rsidR="00316C5C" w:rsidRPr="008A3149" w:rsidRDefault="00316C5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динамичным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гибким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инструментом,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поэтому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ухудшении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макроэкономической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ситуации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быстрее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сбавил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предоставленного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сравнении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прочими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инструментами.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Темп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2008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сократился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75%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16%,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итогам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"Эксперта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РА",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составил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361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млрд.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руб.,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сократился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40%.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стоит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отметить,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без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учета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"Еврокоммерц",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была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лидером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2008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падение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составило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около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30%.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Последние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данные,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опубликованные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Ассоциацией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итогам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девяти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месяцев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свидетельствуют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росте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36%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сравнению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первым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полугодием.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образом,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втором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полугодии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преодолел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падение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начал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расти.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Кроме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того,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сравнении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другими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темпы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остаются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высокими.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положительных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тенденциях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свидетельствуют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результаты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статистического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исследования,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проведенного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Ассоциацией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(АФК),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итогам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I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квартала.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квартале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2010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составил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78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млрд.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руб.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Исходя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принимая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внимание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характерный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втором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полугодии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соотношении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первому,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оценить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годовой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пределах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390-470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млрд.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руб.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итогам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АФК,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составил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320-330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млрд.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руб.,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оценкам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рейтингового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агентства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"Эксперт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РА"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361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млрд.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руб.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Таким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образом,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итогам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потерял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прогнозам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20-40%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(рис.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1).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Несмотря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"Эксперт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РА"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прогнозирует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2010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прирост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размере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25-35%.</w:t>
      </w:r>
    </w:p>
    <w:p w:rsidR="00877AAE" w:rsidRPr="008A3149" w:rsidRDefault="00877AAE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877AAE" w:rsidRPr="008A3149" w:rsidRDefault="00DF252A" w:rsidP="008A3149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234pt">
            <v:imagedata r:id="rId8" o:title=""/>
          </v:shape>
        </w:pict>
      </w:r>
    </w:p>
    <w:p w:rsidR="00877AAE" w:rsidRPr="008A3149" w:rsidRDefault="00877AAE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Рис.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Темп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прироста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</w:t>
      </w:r>
    </w:p>
    <w:p w:rsidR="00877AAE" w:rsidRPr="008A3149" w:rsidRDefault="00877AAE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877AAE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целом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АФК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I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кварталу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2010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подтверждают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положительные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прогнозы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текущем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году: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выплаченного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52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млрд.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руб.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общий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портфель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непогашенного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размере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41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млрд.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руб.,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80%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сделок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приходится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внутренний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регресса.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Таким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образом,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сегодняшний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констатировать,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независимые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инвесторы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обратили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внимания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стоит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отметить,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привлекателен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инвесторов,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поскольку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позволяет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получить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сравнительно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высокую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доходность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относительно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других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инвестиций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(порядка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20-40%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зависимости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стоимости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фондирования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выбранной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политики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риск-менеджмента),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кроме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того,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отсутствует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контроль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стороны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государственных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регуляторов.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Однако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большинство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возможных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инвесторов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"отпугивает"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недостаточная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информированность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специфике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отсутствие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необходимой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методологической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базы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специализированного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программного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обеспечения.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Здесь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важно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отметить,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запуска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успешной,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конкурентоспособной,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необходимо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учитывать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различные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направления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деятельности.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Выделим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следующие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функциональные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составляющие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предпринимательства:</w:t>
      </w:r>
    </w:p>
    <w:p w:rsidR="00943FFC" w:rsidRPr="008A3149" w:rsidRDefault="00943FFC" w:rsidP="008A3149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фондирование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(источники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финансирования);</w:t>
      </w:r>
    </w:p>
    <w:p w:rsidR="00943FFC" w:rsidRPr="008A3149" w:rsidRDefault="00943FFC" w:rsidP="008A3149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риск-менеджмент;</w:t>
      </w:r>
    </w:p>
    <w:p w:rsidR="00943FFC" w:rsidRPr="008A3149" w:rsidRDefault="00943FFC" w:rsidP="008A3149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внутренние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бизнес-процессы;</w:t>
      </w:r>
    </w:p>
    <w:p w:rsidR="00943FFC" w:rsidRPr="008A3149" w:rsidRDefault="00943FFC" w:rsidP="008A3149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ИТ-обеспечение;</w:t>
      </w:r>
    </w:p>
    <w:p w:rsidR="00943FFC" w:rsidRPr="008A3149" w:rsidRDefault="00943FFC" w:rsidP="008A3149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маркетинг;</w:t>
      </w:r>
    </w:p>
    <w:p w:rsidR="00943FFC" w:rsidRPr="008A3149" w:rsidRDefault="00943FFC" w:rsidP="008A3149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продажи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региональная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сеть;</w:t>
      </w:r>
    </w:p>
    <w:p w:rsidR="00943FFC" w:rsidRPr="008A3149" w:rsidRDefault="00943FFC" w:rsidP="008A3149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персонал.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момент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создание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разработка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нуля"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всех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вышеперечисленных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составляющих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представляет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собой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достаточно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долговременный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затратный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процесс,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ограничивает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выход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независимых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инвесторов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ближайшее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стоит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ожидать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появления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связанных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различными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финансово-промышленными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группами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холдингами.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будут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первую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очередь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нацелены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оптимизацию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финансово-хозяйственной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деятельности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холдинга,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работу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условиях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отсрочки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платежа.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Некоторые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эксперты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прогнозируют,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ближайшее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произойти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четкая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сегментация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участников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предлагаемых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продуктов.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частности,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будут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предлагать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продукты,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будет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лежать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предоставление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крупным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средним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низким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уровнем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чтобы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подпадать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ЦБ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РФ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создании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резервов.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будут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предлагать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специфические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среднего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малого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бизнеса.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подтверждение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тенденции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отметить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появление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минувшем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ряда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небольших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региональных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ориентированных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работу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малым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средним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конкретных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регионах.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Знание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специфики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местного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помогает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точно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оценить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дебиторов,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предоставить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гибкие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условия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обслуживания.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связи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необходимо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подробно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остановиться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видах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продуктов,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представленных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рынке.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Подробное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описание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общепринятых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продуктов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приведено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табл.</w:t>
      </w:r>
      <w:r w:rsidR="008A3149">
        <w:rPr>
          <w:sz w:val="28"/>
          <w:szCs w:val="26"/>
        </w:rPr>
        <w:t xml:space="preserve"> </w:t>
      </w:r>
      <w:r w:rsidR="00B26CD1" w:rsidRPr="008A3149">
        <w:rPr>
          <w:sz w:val="28"/>
          <w:szCs w:val="26"/>
        </w:rPr>
        <w:t>1</w:t>
      </w:r>
      <w:r w:rsidR="008A3149">
        <w:rPr>
          <w:sz w:val="28"/>
          <w:szCs w:val="26"/>
        </w:rPr>
        <w:t xml:space="preserve"> </w:t>
      </w:r>
      <w:r w:rsidR="00B26CD1" w:rsidRPr="008A3149">
        <w:rPr>
          <w:sz w:val="28"/>
          <w:szCs w:val="26"/>
        </w:rPr>
        <w:t>(Приложение</w:t>
      </w:r>
      <w:r w:rsidR="008A3149">
        <w:rPr>
          <w:sz w:val="28"/>
          <w:szCs w:val="26"/>
        </w:rPr>
        <w:t xml:space="preserve"> </w:t>
      </w:r>
      <w:r w:rsidR="00145C14" w:rsidRPr="008A3149">
        <w:rPr>
          <w:sz w:val="28"/>
          <w:szCs w:val="26"/>
        </w:rPr>
        <w:t>1</w:t>
      </w:r>
      <w:r w:rsidR="00B26CD1" w:rsidRPr="008A3149">
        <w:rPr>
          <w:sz w:val="28"/>
          <w:szCs w:val="26"/>
        </w:rPr>
        <w:t>)</w:t>
      </w:r>
      <w:r w:rsidR="001847D3" w:rsidRPr="008A3149">
        <w:rPr>
          <w:sz w:val="28"/>
          <w:szCs w:val="26"/>
        </w:rPr>
        <w:t>.</w:t>
      </w:r>
    </w:p>
    <w:p w:rsidR="0025012A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мирового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International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Factors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Group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(IFG)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47%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приходится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около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31%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без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(со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страховым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покрытием),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23%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называемый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invoice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discountin,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доминирует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преимуществом.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"Эксперта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РА"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безрегрессного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сократилась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17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11,5%,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международного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прочих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продуктов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превысила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1%.</w:t>
      </w:r>
    </w:p>
    <w:p w:rsidR="00C07512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Качество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состав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предлагаемых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продуктов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тесно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взаимосвязаны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структурой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нынешних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участников.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преобладают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однако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далеко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всегда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значимым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продуктом</w:t>
      </w:r>
      <w:r w:rsidR="00C07512" w:rsidRPr="008A3149">
        <w:rPr>
          <w:sz w:val="28"/>
          <w:szCs w:val="26"/>
        </w:rPr>
        <w:t>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Можно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выделить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участников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единственным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деятельности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либо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второстепенным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направлением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(дополнительной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услугой).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подавляющего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большинства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единственным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деятельности.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банков-факторов,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некоторых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компаний</w:t>
      </w:r>
      <w:r w:rsidR="00614B9E" w:rsidRPr="008A3149">
        <w:rPr>
          <w:sz w:val="28"/>
          <w:szCs w:val="26"/>
        </w:rPr>
        <w:t>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направлений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степень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приоритетности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исходя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общем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банка.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Остальные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"косвенные"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участники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(страховщики,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коллекторы)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обычно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используют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дополнительную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услугу.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Наряду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качественными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критериями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рыночных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позиций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нужно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использовать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количественные.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Самые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очевидные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показатели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рыночной/конкурентной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позиции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абсолютном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выражении.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Распределение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рыночной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приведено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табл.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</w:t>
      </w:r>
      <w:r w:rsidR="008A3149">
        <w:rPr>
          <w:sz w:val="28"/>
          <w:szCs w:val="26"/>
        </w:rPr>
        <w:t xml:space="preserve"> </w:t>
      </w:r>
      <w:r w:rsidR="006F5C4C" w:rsidRPr="008A3149">
        <w:rPr>
          <w:sz w:val="28"/>
          <w:szCs w:val="26"/>
        </w:rPr>
        <w:t>(Приложение</w:t>
      </w:r>
      <w:r w:rsidR="008A3149">
        <w:rPr>
          <w:sz w:val="28"/>
          <w:szCs w:val="26"/>
        </w:rPr>
        <w:t xml:space="preserve"> </w:t>
      </w:r>
      <w:r w:rsidR="00145C14" w:rsidRPr="008A3149">
        <w:rPr>
          <w:sz w:val="28"/>
          <w:szCs w:val="26"/>
        </w:rPr>
        <w:t>2</w:t>
      </w:r>
      <w:r w:rsidR="006F5C4C" w:rsidRPr="008A3149">
        <w:rPr>
          <w:sz w:val="28"/>
          <w:szCs w:val="26"/>
        </w:rPr>
        <w:t>)</w:t>
      </w:r>
      <w:r w:rsidRPr="008A3149">
        <w:rPr>
          <w:sz w:val="28"/>
          <w:szCs w:val="26"/>
        </w:rPr>
        <w:t>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могут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быть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использованы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только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самой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общей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оценки,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поскольку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очень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мало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информации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рыночного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положения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конкретной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компании.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стоит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отметить,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пятерки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лидеров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приходится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почти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72%,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13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игроков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половины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общего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числа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ничтожно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составляет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менее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1%.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Это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свидетельствует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серьезной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сегментации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участников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614B9E" w:rsidRPr="008A3149">
        <w:rPr>
          <w:sz w:val="28"/>
          <w:szCs w:val="26"/>
        </w:rPr>
        <w:t>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перспективам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развития.</w:t>
      </w:r>
    </w:p>
    <w:p w:rsidR="00943FFC" w:rsidRPr="008A3149" w:rsidRDefault="00723372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Можно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провести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сегментацию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факторов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исходя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из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таких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количественных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показателей,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как: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количество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обслуженных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договорам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компаний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год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объем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уступленной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фактору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дебиторской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задолженности,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приходящейся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одну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обслуженную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компанию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(тыс.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руб.).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Первый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показатель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позволяет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столько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оценить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величину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сколько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стратегию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именно,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ориентируется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"массовый"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сегмент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обслуживание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небольшого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числа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другой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стороны,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показатель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оценивает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степень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находится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стадии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зрелости,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становления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начальной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стадии.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Будем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считать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крупными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обслуживают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100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обслуживающих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менее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30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относить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мелким.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Второй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показатель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позволяет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оценить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клиентские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сегменты,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работает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относятся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они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крупному,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мелкому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среднему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бизнесу.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надо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учитывать,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передают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обслуживание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весь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оборот,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некоторые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могут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дебиторскую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задолженность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только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случае,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когда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необходимо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получить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финансирование.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Поэтому,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наш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взгляд,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использовать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следующие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значения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проведения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сегментации: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если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задолженности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обслуживаемую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составляет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30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млн.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руб.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преимущественно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работает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малым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если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показатель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составляет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30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млн.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300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млн.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руб.,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часть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представляет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значении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показателя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300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млн.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руб.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обслуживает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крупный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Используя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анализа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"Эксперта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РА"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выделить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шесть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сегментов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(рис.</w:t>
      </w:r>
      <w:r w:rsidR="008A3149">
        <w:rPr>
          <w:sz w:val="28"/>
          <w:szCs w:val="26"/>
        </w:rPr>
        <w:t xml:space="preserve"> </w:t>
      </w:r>
      <w:r w:rsidR="00C808BF" w:rsidRPr="008A3149">
        <w:rPr>
          <w:sz w:val="28"/>
          <w:szCs w:val="26"/>
        </w:rPr>
        <w:t>2</w:t>
      </w:r>
      <w:r w:rsidR="008A3149">
        <w:rPr>
          <w:sz w:val="28"/>
          <w:szCs w:val="26"/>
        </w:rPr>
        <w:t xml:space="preserve"> </w:t>
      </w:r>
      <w:r w:rsidR="00001CB3"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="00C808BF" w:rsidRPr="008A3149">
        <w:rPr>
          <w:sz w:val="28"/>
          <w:szCs w:val="26"/>
        </w:rPr>
        <w:t>Приложение</w:t>
      </w:r>
      <w:r w:rsidR="008A3149">
        <w:rPr>
          <w:sz w:val="28"/>
          <w:szCs w:val="26"/>
        </w:rPr>
        <w:t xml:space="preserve"> </w:t>
      </w:r>
      <w:r w:rsidR="00145C14" w:rsidRPr="008A3149">
        <w:rPr>
          <w:sz w:val="28"/>
          <w:szCs w:val="26"/>
        </w:rPr>
        <w:t>3</w:t>
      </w:r>
      <w:r w:rsidR="00C808BF" w:rsidRPr="008A3149">
        <w:rPr>
          <w:sz w:val="28"/>
          <w:szCs w:val="26"/>
        </w:rPr>
        <w:t>).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первый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сегмент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входят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факторы,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имеющие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начальную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конкурентную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позицию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силу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недавнего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выхода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рынок,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либо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небольшой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рыночной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долей,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приоритетным.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Второй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сегмент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представлен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среднего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размера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региональными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компаниями,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ввиду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ограниченности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ресурсов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могут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претендовать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большую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рыночную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долю.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Третий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сегмент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формируют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специализированные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отраслевые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ориентируются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работу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клиентами,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представляющими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определенные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отрасли.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четвертому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сегменту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относятся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региональные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предоставляют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определенном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регионе.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Банки-факторы,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формирующие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пятый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сегмент,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работают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преимущественно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средним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крупным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бизнесом.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Факторы-"бутики"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зарубежные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предоставляют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только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ограниченному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кругу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Универсальные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ориентированы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работу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компаниями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размеров: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крупного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малого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бизнеса.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Таким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образом,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стороны,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тенденция,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свидетельствующая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дифференциации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(специализации)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участников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другой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четко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выделяются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различные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рыночные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сегменты,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ориентированные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группы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потребителей.</w:t>
      </w:r>
      <w:bookmarkStart w:id="14" w:name="sub_500"/>
    </w:p>
    <w:p w:rsidR="00614B9E" w:rsidRPr="008A3149" w:rsidRDefault="00614B9E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943FFC" w:rsidRPr="008A3149" w:rsidRDefault="00330CFA" w:rsidP="008A3149">
      <w:pPr>
        <w:pStyle w:val="1"/>
        <w:keepNext w:val="0"/>
        <w:spacing w:line="360" w:lineRule="auto"/>
        <w:ind w:firstLine="709"/>
        <w:jc w:val="both"/>
        <w:rPr>
          <w:sz w:val="28"/>
          <w:szCs w:val="26"/>
        </w:rPr>
      </w:pPr>
      <w:bookmarkStart w:id="15" w:name="_Toc276933739"/>
      <w:bookmarkEnd w:id="14"/>
      <w:r w:rsidRPr="008A3149">
        <w:rPr>
          <w:sz w:val="28"/>
          <w:szCs w:val="26"/>
        </w:rPr>
        <w:t>3.</w:t>
      </w:r>
      <w:r w:rsidR="00614B9E" w:rsidRPr="008A3149">
        <w:rPr>
          <w:sz w:val="28"/>
          <w:szCs w:val="26"/>
        </w:rPr>
        <w:t>2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Перспективы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развития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российского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факторинга</w:t>
      </w:r>
      <w:bookmarkEnd w:id="15"/>
    </w:p>
    <w:p w:rsidR="005C1F03" w:rsidRPr="008A3149" w:rsidRDefault="005C1F03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D6426B" w:rsidRPr="008A3149" w:rsidRDefault="00D6426B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Двумя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наиболее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распространенными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являются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без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регресса.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связи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кризисом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многие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перестали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предлагать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без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рисковый.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итогам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сделок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безрегрессного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снизилась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11,5%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общего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числа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сделок,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предлагали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лишь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девять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проводили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лишь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единичные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сделки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без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регресса.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Остальные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числе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международный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(сделки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проводили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лишь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участника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рынка),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занимают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1%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общем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сделок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предлагаются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лишь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отдельными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участниками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рынка.</w:t>
      </w:r>
    </w:p>
    <w:p w:rsidR="00D6426B" w:rsidRPr="008A3149" w:rsidRDefault="00D6426B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Согласно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мнениям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ряда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экспертов,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высказанным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исследовании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"Эксперта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РА"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V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Ежегодной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конференции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России-2010: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стратегии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роста",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двигателями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2011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должны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безрегрессный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региональный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Однако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первый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представляется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сомнительным.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Западной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Европе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успешное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без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связано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широким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распространением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страхования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рисков.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Страховщики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общедоступной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информации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положении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легко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выставляют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лимиты,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пользуются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страхуя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зачастую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отдавая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анализ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сделки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откуп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страховщикам.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сегмент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страхового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слабо,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работают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силы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4-5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подобные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сделки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считать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единичными.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Кроме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того,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тарифы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страховщиков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подобному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страхованию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довольно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высоки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составляют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0,5-1%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суммы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страхового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лимита.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ситуации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могут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предлагать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без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лишь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случае,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если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уверены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оценках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сделке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готовы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определенную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принимать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себя.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лишь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несколько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проводили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подобные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сделки,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небольших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количествах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проверенных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Поэтому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говорить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резком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изменении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направлении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резком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скачке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качества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риск-менеджмента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остальных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течение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2010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вряд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стоит.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Второ</w:t>
      </w:r>
      <w:r w:rsidR="00F21482" w:rsidRPr="008A3149">
        <w:rPr>
          <w:sz w:val="28"/>
          <w:szCs w:val="26"/>
        </w:rPr>
        <w:t>е</w:t>
      </w:r>
      <w:r w:rsidR="008A3149">
        <w:rPr>
          <w:sz w:val="28"/>
          <w:szCs w:val="26"/>
        </w:rPr>
        <w:t xml:space="preserve"> </w:t>
      </w:r>
      <w:r w:rsidR="00F21482" w:rsidRPr="008A3149">
        <w:rPr>
          <w:sz w:val="28"/>
          <w:szCs w:val="26"/>
        </w:rPr>
        <w:t>направление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региональный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представляется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реальным.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итогам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"Эксперта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РА",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Москвы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Санкт-Петербурга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общем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сделок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составила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78%.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Несомненно,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создает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большой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потенциал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регионах.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первую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очередь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должны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преуспеть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федерального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значения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широкой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региональной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сетью,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Промсвязьбанк,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Альфа-Банк,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"Лайф"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базе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Пробизнес-банка).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Еще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могло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расширение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числа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малого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среднего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бизнеса.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После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кризиса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течение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малого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довольно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значительно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снизилась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27%.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тенденция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представляется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довольно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тревожной.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изменению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способствовать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получение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рядом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целевых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направленных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сделок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малым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бизнесом.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по-прежнему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проблемой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остается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недоступность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малого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микробизнеса: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большинство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готово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принимать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дебиторскую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задолженность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размере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менее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5-10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млн.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руб.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месяц.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Отметим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также,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прошедший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оставил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нерешенным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ряд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проблем,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продолжат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"тормозить"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отечественного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факторинга: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1)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отсутствие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должной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законодательной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базы.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специального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законодательного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акта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факторинге,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ведется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работа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разработке.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этой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связи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остается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законодательно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неурегулированным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ряд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важнейших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моментов,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касающихся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требований: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уведомление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должника,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порядок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действий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взаимозачетах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списаниях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стороны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должника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(дебитора)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др.;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2)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слабое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страхования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рисков.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серьезно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затрудняет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без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регресса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увеличивает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стоимость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данной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делая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зачастую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нецелесообразной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ввиду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высокой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цены;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3)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низкий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уровень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риск-менеджмента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факторов.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Отсутствие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многих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участников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полноценной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методологической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базы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квалифицированного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персонала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ограничивает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возможности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совершенствованию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имеющихся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созданию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продуктов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клиентов;</w:t>
      </w:r>
    </w:p>
    <w:p w:rsidR="00943FFC" w:rsidRPr="008A3149" w:rsidRDefault="0092701D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4</w:t>
      </w:r>
      <w:r w:rsidR="00943FFC" w:rsidRPr="008A3149">
        <w:rPr>
          <w:sz w:val="28"/>
          <w:szCs w:val="26"/>
        </w:rPr>
        <w:t>)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недостаточная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информированность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потенциальных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клиентов-предпринимателей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данной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услуге.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Уровень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знаний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о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факторинге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среди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клиентов,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особенно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регионах,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остается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довольно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низком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уровне;</w:t>
      </w:r>
    </w:p>
    <w:p w:rsidR="00943FFC" w:rsidRPr="008A3149" w:rsidRDefault="0092701D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5</w:t>
      </w:r>
      <w:r w:rsidR="00943FFC" w:rsidRPr="008A3149">
        <w:rPr>
          <w:sz w:val="28"/>
          <w:szCs w:val="26"/>
        </w:rPr>
        <w:t>)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отсутствие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консолидации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среди</w:t>
      </w:r>
      <w:r w:rsidR="008A3149">
        <w:rPr>
          <w:sz w:val="28"/>
          <w:szCs w:val="26"/>
        </w:rPr>
        <w:t xml:space="preserve"> </w:t>
      </w:r>
      <w:r w:rsidR="00943FFC" w:rsidRPr="008A3149">
        <w:rPr>
          <w:sz w:val="28"/>
          <w:szCs w:val="26"/>
        </w:rPr>
        <w:t>факторов.</w:t>
      </w:r>
    </w:p>
    <w:p w:rsidR="00943FFC" w:rsidRPr="008A3149" w:rsidRDefault="00943FFC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Совместные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усилия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рамках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объединения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участников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могли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серьезно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повысить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конкурентоспособность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сравнении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другими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услугами,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привлечь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внимание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законодателей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инвесторов.</w:t>
      </w:r>
    </w:p>
    <w:p w:rsidR="00943FFC" w:rsidRPr="008A3149" w:rsidRDefault="008816A5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Анализ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особенностей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предпринимательства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условиях,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степени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позволяет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выделить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следующие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особенности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России:</w:t>
      </w:r>
    </w:p>
    <w:p w:rsidR="008816A5" w:rsidRPr="008A3149" w:rsidRDefault="008816A5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степени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представляет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собой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развивающийся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рынок.</w:t>
      </w:r>
    </w:p>
    <w:p w:rsidR="008816A5" w:rsidRPr="008A3149" w:rsidRDefault="008816A5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настоящий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момент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преобладают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ценовые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методы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конкуренции,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однако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постепенно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все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большее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внимание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начинают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уделять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составляющим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неценовой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конкуренции,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дифференциация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продуктов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стимулирование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сбыта;</w:t>
      </w:r>
    </w:p>
    <w:p w:rsidR="008816A5" w:rsidRPr="008A3149" w:rsidRDefault="008816A5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продукты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конкурируют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между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собой;</w:t>
      </w:r>
    </w:p>
    <w:p w:rsidR="008816A5" w:rsidRPr="008A3149" w:rsidRDefault="008816A5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снижается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уровень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концентрации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участников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происходит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движение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сторону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большей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специализации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участников.</w:t>
      </w:r>
    </w:p>
    <w:p w:rsidR="0092701D" w:rsidRDefault="0092701D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8A3149" w:rsidRPr="008A3149" w:rsidRDefault="008A3149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ED15F0" w:rsidRPr="008A3149" w:rsidRDefault="005C1F03" w:rsidP="008A3149">
      <w:pPr>
        <w:pStyle w:val="1"/>
        <w:keepNext w:val="0"/>
        <w:spacing w:line="360" w:lineRule="auto"/>
        <w:ind w:firstLine="709"/>
        <w:jc w:val="both"/>
        <w:rPr>
          <w:sz w:val="28"/>
          <w:szCs w:val="26"/>
        </w:rPr>
      </w:pPr>
      <w:bookmarkStart w:id="16" w:name="_Toc68186078"/>
      <w:bookmarkEnd w:id="11"/>
      <w:r w:rsidRPr="008A3149">
        <w:rPr>
          <w:sz w:val="28"/>
          <w:szCs w:val="26"/>
        </w:rPr>
        <w:br w:type="page"/>
      </w:r>
      <w:bookmarkStart w:id="17" w:name="_Toc276933740"/>
      <w:r w:rsidR="00ED15F0" w:rsidRPr="008A3149">
        <w:rPr>
          <w:sz w:val="28"/>
          <w:szCs w:val="26"/>
        </w:rPr>
        <w:t>Заключение</w:t>
      </w:r>
      <w:bookmarkEnd w:id="16"/>
      <w:bookmarkEnd w:id="17"/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Подводя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итоги,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сказать,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сравнительно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новой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нашей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системой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улучшения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ликвидности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снижения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организации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платежей.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bCs/>
          <w:sz w:val="28"/>
          <w:szCs w:val="26"/>
        </w:rPr>
        <w:t>Факторинг</w:t>
      </w:r>
      <w:r w:rsidR="008A3149">
        <w:rPr>
          <w:b/>
          <w:bCs/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весьма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эффективная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форма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оборотных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средств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своей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сути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включает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инкассирование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дебиторской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задолженности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поставщика,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гарантию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появления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сомнительных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долгов.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Мировая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практика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области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проведения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выработала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множества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вариантов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соглашений,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использование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зависит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специфики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факторинговых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компаний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заключение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следует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отметить,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что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ряд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преимуществ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сравнению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традиционными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видами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кредитов:</w:t>
      </w:r>
    </w:p>
    <w:p w:rsidR="00ED15F0" w:rsidRPr="008A3149" w:rsidRDefault="00ED15F0" w:rsidP="008A3149">
      <w:pPr>
        <w:numPr>
          <w:ilvl w:val="0"/>
          <w:numId w:val="13"/>
        </w:numPr>
        <w:tabs>
          <w:tab w:val="clear" w:pos="1320"/>
          <w:tab w:val="num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позволяет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оперативно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привлекать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дополнительные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оборотные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средства;</w:t>
      </w:r>
    </w:p>
    <w:p w:rsidR="00ED15F0" w:rsidRPr="008A3149" w:rsidRDefault="00ED15F0" w:rsidP="008A3149">
      <w:pPr>
        <w:numPr>
          <w:ilvl w:val="0"/>
          <w:numId w:val="13"/>
        </w:numPr>
        <w:tabs>
          <w:tab w:val="clear" w:pos="1320"/>
          <w:tab w:val="num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предоставляется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сколь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угодно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малые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поставок;</w:t>
      </w:r>
    </w:p>
    <w:p w:rsidR="00ED15F0" w:rsidRPr="008A3149" w:rsidRDefault="00ED15F0" w:rsidP="008A3149">
      <w:pPr>
        <w:numPr>
          <w:ilvl w:val="0"/>
          <w:numId w:val="13"/>
        </w:numPr>
        <w:tabs>
          <w:tab w:val="clear" w:pos="1320"/>
          <w:tab w:val="num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требует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обеспечения,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кроме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уступки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денежного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дебиторам;</w:t>
      </w:r>
    </w:p>
    <w:p w:rsidR="00ED15F0" w:rsidRPr="008A3149" w:rsidRDefault="00ED15F0" w:rsidP="008A3149">
      <w:pPr>
        <w:numPr>
          <w:ilvl w:val="0"/>
          <w:numId w:val="13"/>
        </w:numPr>
        <w:tabs>
          <w:tab w:val="clear" w:pos="1320"/>
          <w:tab w:val="num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является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возобновляемым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финансированием;</w:t>
      </w:r>
    </w:p>
    <w:p w:rsidR="00ED15F0" w:rsidRPr="008A3149" w:rsidRDefault="00ED15F0" w:rsidP="008A3149">
      <w:pPr>
        <w:numPr>
          <w:ilvl w:val="0"/>
          <w:numId w:val="13"/>
        </w:numPr>
        <w:tabs>
          <w:tab w:val="clear" w:pos="1320"/>
          <w:tab w:val="num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оплачивается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только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период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фактического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момента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финансирования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поставки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(поставщика)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момента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поступления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средств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покупателя;</w:t>
      </w:r>
    </w:p>
    <w:p w:rsidR="00ED15F0" w:rsidRPr="008A3149" w:rsidRDefault="00ED15F0" w:rsidP="008A3149">
      <w:pPr>
        <w:numPr>
          <w:ilvl w:val="0"/>
          <w:numId w:val="13"/>
        </w:numPr>
        <w:tabs>
          <w:tab w:val="clear" w:pos="1320"/>
          <w:tab w:val="num" w:pos="1080"/>
        </w:tabs>
        <w:spacing w:line="360" w:lineRule="auto"/>
        <w:ind w:left="0"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требует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длительного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анализа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кредитоспособности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стороны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банка.</w:t>
      </w:r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Кроме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того,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связанные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расходы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носят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постоянный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характер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уплачиваются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непосредственно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предприятием,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связанные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расходы,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хоть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являются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сравнению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кредитом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дорогой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услугой,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носят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переменный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характер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погашаются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счет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средств,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поступающих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дебиторов.</w:t>
      </w:r>
    </w:p>
    <w:p w:rsidR="007451E9" w:rsidRPr="008A3149" w:rsidRDefault="007451E9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же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настоящее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время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достиг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уровня,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который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имеется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ряде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стран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рыночной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экономикой.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Развитие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нашей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стране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столкнулось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множеством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проблем,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например,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неплатежи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предприятий,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вызванные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продолжающимся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экономическим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кризисом.</w:t>
      </w:r>
    </w:p>
    <w:p w:rsidR="00E71AE9" w:rsidRPr="008A3149" w:rsidRDefault="00C66E26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Финансовый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кризис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отразиться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показателях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2009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году.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Объемы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внутреннего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международного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существенно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снизились,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сократилось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количество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участников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рынка.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Однако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второй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половине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были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отмечены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позитивные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тенденции.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прогнозам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экспертов,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2010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году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отечественный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ожидает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показателей.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Ведущие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игроки,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работающие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рынке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более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пяти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лет,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решили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свои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основные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проблемы,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связанные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кризисом,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готовятся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к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расширению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бизнеса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за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счет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новых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сегментов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дальнейшей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конкурентной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борьбе.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Результатом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"перезагрузки"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российского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факторинга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должно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стать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только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снижение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процентных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ставок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повышение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доступности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услуги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клиентов,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но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логическое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воплощение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бизнес-моделях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тенденций,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проявившихся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в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связи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с</w:t>
      </w:r>
      <w:r w:rsidR="008A3149">
        <w:rPr>
          <w:sz w:val="28"/>
          <w:szCs w:val="26"/>
        </w:rPr>
        <w:t xml:space="preserve"> </w:t>
      </w:r>
      <w:r w:rsidR="00E71AE9" w:rsidRPr="008A3149">
        <w:rPr>
          <w:sz w:val="28"/>
          <w:szCs w:val="26"/>
        </w:rPr>
        <w:t>кризисом:</w:t>
      </w:r>
    </w:p>
    <w:p w:rsidR="00E71AE9" w:rsidRPr="008A3149" w:rsidRDefault="00E71AE9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повышение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качества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сервиса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клиентоориентированности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предложений;</w:t>
      </w:r>
    </w:p>
    <w:p w:rsidR="00E71AE9" w:rsidRPr="008A3149" w:rsidRDefault="00E71AE9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усиление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риск-менеджмента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как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основного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внутреннего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бизнес-процесса;</w:t>
      </w:r>
    </w:p>
    <w:p w:rsidR="00E71AE9" w:rsidRPr="008A3149" w:rsidRDefault="00E71AE9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внедрение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надежных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IT-платформ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электронного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факторинга;</w:t>
      </w:r>
    </w:p>
    <w:p w:rsidR="00E71AE9" w:rsidRPr="008A3149" w:rsidRDefault="00E71AE9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повышение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маркетинговой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активности;</w:t>
      </w:r>
    </w:p>
    <w:p w:rsidR="00E71AE9" w:rsidRPr="008A3149" w:rsidRDefault="00E71AE9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расширение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продуктового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ряда.</w:t>
      </w:r>
    </w:p>
    <w:p w:rsidR="00A06A5A" w:rsidRDefault="00E71AE9" w:rsidP="008A3149">
      <w:pPr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Вернуть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доверие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потенциальных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клиентов,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партнеров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инвесторов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-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одна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из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ключевых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задач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на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будущее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для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российских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факторов.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Об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успехе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решения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можно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будет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говорить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не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ранее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2011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года.</w:t>
      </w:r>
    </w:p>
    <w:p w:rsidR="008A3149" w:rsidRDefault="008A3149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8A3149" w:rsidRPr="008A3149" w:rsidRDefault="008A3149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ED15F0" w:rsidRPr="008A3149" w:rsidRDefault="00ED15F0" w:rsidP="008A3149">
      <w:pPr>
        <w:pStyle w:val="1"/>
        <w:keepNext w:val="0"/>
        <w:spacing w:line="360" w:lineRule="auto"/>
        <w:ind w:firstLine="709"/>
        <w:jc w:val="both"/>
        <w:rPr>
          <w:sz w:val="28"/>
          <w:szCs w:val="26"/>
        </w:rPr>
      </w:pPr>
      <w:r w:rsidRPr="008A3149">
        <w:rPr>
          <w:sz w:val="28"/>
          <w:szCs w:val="26"/>
        </w:rPr>
        <w:br w:type="page"/>
      </w:r>
      <w:bookmarkStart w:id="18" w:name="_Toc68186079"/>
      <w:bookmarkStart w:id="19" w:name="_Toc276933741"/>
      <w:r w:rsidRPr="008A3149">
        <w:rPr>
          <w:sz w:val="28"/>
          <w:szCs w:val="26"/>
        </w:rPr>
        <w:t>Список</w:t>
      </w:r>
      <w:r w:rsidR="008A3149">
        <w:rPr>
          <w:sz w:val="28"/>
          <w:szCs w:val="26"/>
        </w:rPr>
        <w:t xml:space="preserve"> </w:t>
      </w:r>
      <w:r w:rsidRPr="008A3149">
        <w:rPr>
          <w:sz w:val="28"/>
          <w:szCs w:val="26"/>
        </w:rPr>
        <w:t>литературы</w:t>
      </w:r>
      <w:bookmarkEnd w:id="18"/>
      <w:bookmarkEnd w:id="19"/>
    </w:p>
    <w:p w:rsidR="00ED15F0" w:rsidRPr="008A3149" w:rsidRDefault="00ED15F0" w:rsidP="008A3149">
      <w:pPr>
        <w:spacing w:line="360" w:lineRule="auto"/>
        <w:ind w:firstLine="709"/>
        <w:jc w:val="both"/>
        <w:rPr>
          <w:sz w:val="28"/>
          <w:szCs w:val="26"/>
        </w:rPr>
      </w:pP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1.Гражданский кодекс РФ.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2.Амукова Л.И., Мельцас Е.О.</w:t>
      </w:r>
      <w:r w:rsidR="001E5B76">
        <w:rPr>
          <w:sz w:val="28"/>
          <w:szCs w:val="26"/>
        </w:rPr>
        <w:t xml:space="preserve"> Особенности и преимущества фак</w:t>
      </w:r>
      <w:r w:rsidRPr="008A3149">
        <w:rPr>
          <w:sz w:val="28"/>
          <w:szCs w:val="26"/>
        </w:rPr>
        <w:t>торинга. //Бухучет в строительных организациях", № 5, май 2010.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3.Андреева Л. Договор финансирования под уступку денежного требования (факторинг). //Бухгалтерский учет. 2003. № 12.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4.Бурова M.E. Факторинг. М., 2002.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5.Дереш С. Факторинговые операции: правовые аспекты. // Хозяйство и право. № 2. 2009.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6.Ефимова Л.Г. Банковские сделки. М., 2000.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7.Жуков Е.Ф. Трастовые и факторинговые операции коммерческих банков. М., 2005.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8.Ивасенко А.Г. Факторинг. Новосибирск, 2007.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9.Ивасенко А.Г. Факторинг. Сущность. Проблемы. Пути развития в России. М., 2006.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10.Исследования Эксперт РА: "Рэнкинг факторинговых компаний, 2009 год». // http://www.raexpert.ru/ratings/factoring/2009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11.Исследования Эксперт РА: «Российский рынок факторинга в 2009 году: в поисках точек роста». //http://www.raexpert.ru/researches/factoring/2009/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12.Исследования Эксперт РА: «Российский рынок факторинга в первом полугодии 2009 года: прерванный полет». //http://www.raexpert.ru/ratings/factoring/2009-1/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13.Комаров А.С. Финансирование под уступку денежного требования. //Гражданский кодекс Российской Федерации. Комментарии. Ч. 2. /Под ред. О.М. Козырь, А.Л. Маковского, С.А. Хохлова. М., 2004.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14.Леднев М.В. Факторинг ПРО. //Банковское кредитование, № 4, июль-август 2010 г.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15.Ситникова Е. Факторинг как способ обеспечения исполнения обязательств. //Бухгалтерия и банки, № 10, октябрь 2009.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16.Суханов Е.А. Договор финансирования под уступку денежного требования (договор факторинга). М., 2006.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17.Хотинская Г.И., Докукина Е.В. Рынок факторинговых услуг: состояние и тенденции развития. //Маркетинг услуг. № 2, 2008.</w:t>
      </w:r>
    </w:p>
    <w:p w:rsidR="008A3149" w:rsidRPr="008A3149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18.Шевченко Д. Российский факторинг: перезагрузка. //Консультант, №» 9, май 2010.</w:t>
      </w:r>
    </w:p>
    <w:p w:rsidR="00E95DCC" w:rsidRDefault="008A3149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  <w:r w:rsidRPr="008A3149">
        <w:rPr>
          <w:sz w:val="28"/>
          <w:szCs w:val="26"/>
        </w:rPr>
        <w:t>19.Эрделевский А. Договор факторинга. //Российская юстиция. 2007. № 1.</w:t>
      </w:r>
    </w:p>
    <w:p w:rsidR="002918DB" w:rsidRDefault="002918DB" w:rsidP="008A3149">
      <w:pPr>
        <w:tabs>
          <w:tab w:val="left" w:pos="567"/>
        </w:tabs>
        <w:spacing w:line="360" w:lineRule="auto"/>
        <w:jc w:val="both"/>
        <w:rPr>
          <w:sz w:val="28"/>
          <w:szCs w:val="26"/>
        </w:rPr>
      </w:pPr>
    </w:p>
    <w:p w:rsidR="002918DB" w:rsidRPr="007F06D7" w:rsidRDefault="002918DB" w:rsidP="002918DB">
      <w:pPr>
        <w:pStyle w:val="a9"/>
        <w:tabs>
          <w:tab w:val="left" w:pos="1245"/>
        </w:tabs>
        <w:jc w:val="center"/>
        <w:rPr>
          <w:b/>
          <w:color w:val="FFFFFF"/>
          <w:sz w:val="28"/>
          <w:szCs w:val="28"/>
        </w:rPr>
      </w:pPr>
      <w:bookmarkStart w:id="20" w:name="_GoBack"/>
      <w:bookmarkEnd w:id="20"/>
    </w:p>
    <w:sectPr w:rsidR="002918DB" w:rsidRPr="007F06D7" w:rsidSect="008A3149">
      <w:headerReference w:type="even" r:id="rId9"/>
      <w:headerReference w:type="default" r:id="rId10"/>
      <w:footnotePr>
        <w:numRestart w:val="eachPage"/>
      </w:footnotePr>
      <w:pgSz w:w="11900" w:h="16838"/>
      <w:pgMar w:top="1134" w:right="850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6D7" w:rsidRDefault="007F06D7">
      <w:r>
        <w:separator/>
      </w:r>
    </w:p>
  </w:endnote>
  <w:endnote w:type="continuationSeparator" w:id="0">
    <w:p w:rsidR="007F06D7" w:rsidRDefault="007F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6D7" w:rsidRDefault="007F06D7">
      <w:r>
        <w:separator/>
      </w:r>
    </w:p>
  </w:footnote>
  <w:footnote w:type="continuationSeparator" w:id="0">
    <w:p w:rsidR="007F06D7" w:rsidRDefault="007F0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1D" w:rsidRDefault="003804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041D" w:rsidRDefault="0038041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1D" w:rsidRDefault="0038041D" w:rsidP="002918DB">
    <w:pPr>
      <w:pStyle w:val="a9"/>
      <w:tabs>
        <w:tab w:val="left" w:pos="124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CB3946"/>
    <w:multiLevelType w:val="hybridMultilevel"/>
    <w:tmpl w:val="EAE88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8C6B27"/>
    <w:multiLevelType w:val="singleLevel"/>
    <w:tmpl w:val="A586A0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0ABF03A6"/>
    <w:multiLevelType w:val="hybridMultilevel"/>
    <w:tmpl w:val="52D6745C"/>
    <w:lvl w:ilvl="0" w:tplc="6FE06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2CB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7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B0EC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564B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662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C824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A258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88E7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231F0"/>
    <w:multiLevelType w:val="hybridMultilevel"/>
    <w:tmpl w:val="087E3916"/>
    <w:lvl w:ilvl="0" w:tplc="8D1AB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1A1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B0B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EA2E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D4B6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1CE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1C4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F231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5EF7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15323"/>
    <w:multiLevelType w:val="hybridMultilevel"/>
    <w:tmpl w:val="3E104376"/>
    <w:lvl w:ilvl="0" w:tplc="867E0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7E3A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F89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FCF3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7A35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522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F6B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FE83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F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525EB0"/>
    <w:multiLevelType w:val="hybridMultilevel"/>
    <w:tmpl w:val="B32C360E"/>
    <w:lvl w:ilvl="0" w:tplc="259AC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0A3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9CD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40D9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7214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166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12EB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448B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60CC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845980"/>
    <w:multiLevelType w:val="hybridMultilevel"/>
    <w:tmpl w:val="AC92EFB8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8">
    <w:nsid w:val="17E84242"/>
    <w:multiLevelType w:val="hybridMultilevel"/>
    <w:tmpl w:val="40D20EB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>
    <w:nsid w:val="1D3523A6"/>
    <w:multiLevelType w:val="hybridMultilevel"/>
    <w:tmpl w:val="80F6C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FB243A"/>
    <w:multiLevelType w:val="hybridMultilevel"/>
    <w:tmpl w:val="FF88AF7C"/>
    <w:lvl w:ilvl="0" w:tplc="A68274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DC204E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9250A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9AE0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A43B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9C7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4CB1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B8BB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10E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294B35"/>
    <w:multiLevelType w:val="hybridMultilevel"/>
    <w:tmpl w:val="EFDC88E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>
    <w:nsid w:val="44F47579"/>
    <w:multiLevelType w:val="hybridMultilevel"/>
    <w:tmpl w:val="D89A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8F39A3"/>
    <w:multiLevelType w:val="hybridMultilevel"/>
    <w:tmpl w:val="D610DDAE"/>
    <w:lvl w:ilvl="0" w:tplc="065AE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368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E08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845C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4621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7C0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18EB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8239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5C68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1669C5"/>
    <w:multiLevelType w:val="hybridMultilevel"/>
    <w:tmpl w:val="5C2EA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04F3CDB"/>
    <w:multiLevelType w:val="hybridMultilevel"/>
    <w:tmpl w:val="961AF948"/>
    <w:lvl w:ilvl="0" w:tplc="CE44B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DA5F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341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7E1D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701F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4E4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6A05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C255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F42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4F4F39"/>
    <w:multiLevelType w:val="singleLevel"/>
    <w:tmpl w:val="A586A01A"/>
    <w:lvl w:ilvl="0">
      <w:start w:val="1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7">
    <w:nsid w:val="5AB92188"/>
    <w:multiLevelType w:val="singleLevel"/>
    <w:tmpl w:val="A586A0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8">
    <w:nsid w:val="5D002558"/>
    <w:multiLevelType w:val="hybridMultilevel"/>
    <w:tmpl w:val="B8D0B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DA1EA9"/>
    <w:multiLevelType w:val="hybridMultilevel"/>
    <w:tmpl w:val="E468F29C"/>
    <w:lvl w:ilvl="0" w:tplc="E03E38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545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1E4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83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D6F9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1E5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25A5E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EADD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9851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66237D"/>
    <w:multiLevelType w:val="hybridMultilevel"/>
    <w:tmpl w:val="763667D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1">
    <w:nsid w:val="637842B0"/>
    <w:multiLevelType w:val="hybridMultilevel"/>
    <w:tmpl w:val="34506F66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2">
    <w:nsid w:val="6B380218"/>
    <w:multiLevelType w:val="hybridMultilevel"/>
    <w:tmpl w:val="F3386E2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>
    <w:nsid w:val="6F932591"/>
    <w:multiLevelType w:val="hybridMultilevel"/>
    <w:tmpl w:val="A94C43F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9"/>
  </w:num>
  <w:num w:numId="5">
    <w:abstractNumId w:val="14"/>
  </w:num>
  <w:num w:numId="6">
    <w:abstractNumId w:val="4"/>
  </w:num>
  <w:num w:numId="7">
    <w:abstractNumId w:val="13"/>
  </w:num>
  <w:num w:numId="8">
    <w:abstractNumId w:val="10"/>
  </w:num>
  <w:num w:numId="9">
    <w:abstractNumId w:val="3"/>
    <w:lvlOverride w:ilvl="0">
      <w:lvl w:ilvl="0" w:tplc="6FE06E6C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5"/>
    <w:lvlOverride w:ilvl="0">
      <w:lvl w:ilvl="0" w:tplc="CE44B0F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"/>
  </w:num>
  <w:num w:numId="12">
    <w:abstractNumId w:val="23"/>
  </w:num>
  <w:num w:numId="13">
    <w:abstractNumId w:val="8"/>
  </w:num>
  <w:num w:numId="14">
    <w:abstractNumId w:val="11"/>
  </w:num>
  <w:num w:numId="15">
    <w:abstractNumId w:val="20"/>
  </w:num>
  <w:num w:numId="16">
    <w:abstractNumId w:val="16"/>
  </w:num>
  <w:num w:numId="17">
    <w:abstractNumId w:val="7"/>
  </w:num>
  <w:num w:numId="18">
    <w:abstractNumId w:val="2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17"/>
  </w:num>
  <w:num w:numId="21">
    <w:abstractNumId w:val="9"/>
  </w:num>
  <w:num w:numId="22">
    <w:abstractNumId w:val="21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88A"/>
    <w:rsid w:val="00001CB3"/>
    <w:rsid w:val="00002323"/>
    <w:rsid w:val="0005543F"/>
    <w:rsid w:val="000664AD"/>
    <w:rsid w:val="0007037E"/>
    <w:rsid w:val="000D55BA"/>
    <w:rsid w:val="000E188A"/>
    <w:rsid w:val="000F3525"/>
    <w:rsid w:val="000F578D"/>
    <w:rsid w:val="00145C14"/>
    <w:rsid w:val="00173FC9"/>
    <w:rsid w:val="001847D3"/>
    <w:rsid w:val="00186C16"/>
    <w:rsid w:val="001E5B76"/>
    <w:rsid w:val="00213A90"/>
    <w:rsid w:val="002273EE"/>
    <w:rsid w:val="00230CF6"/>
    <w:rsid w:val="00242167"/>
    <w:rsid w:val="0025012A"/>
    <w:rsid w:val="0025201A"/>
    <w:rsid w:val="00265C54"/>
    <w:rsid w:val="002918DB"/>
    <w:rsid w:val="002B1622"/>
    <w:rsid w:val="002F7544"/>
    <w:rsid w:val="003124E9"/>
    <w:rsid w:val="00316C5C"/>
    <w:rsid w:val="00326247"/>
    <w:rsid w:val="00330CFA"/>
    <w:rsid w:val="00336FBB"/>
    <w:rsid w:val="00352660"/>
    <w:rsid w:val="0036752A"/>
    <w:rsid w:val="0038041D"/>
    <w:rsid w:val="003874CE"/>
    <w:rsid w:val="00421D2C"/>
    <w:rsid w:val="004911DA"/>
    <w:rsid w:val="004C3F01"/>
    <w:rsid w:val="00577399"/>
    <w:rsid w:val="005A35F4"/>
    <w:rsid w:val="005B3063"/>
    <w:rsid w:val="005B55A7"/>
    <w:rsid w:val="005C1F03"/>
    <w:rsid w:val="005C6329"/>
    <w:rsid w:val="00614B9E"/>
    <w:rsid w:val="00675F4D"/>
    <w:rsid w:val="006D62D2"/>
    <w:rsid w:val="006F5C4C"/>
    <w:rsid w:val="00723372"/>
    <w:rsid w:val="007451E9"/>
    <w:rsid w:val="007823A8"/>
    <w:rsid w:val="007C3016"/>
    <w:rsid w:val="007F06D7"/>
    <w:rsid w:val="008237E3"/>
    <w:rsid w:val="00825346"/>
    <w:rsid w:val="008343F8"/>
    <w:rsid w:val="00856E9D"/>
    <w:rsid w:val="0087439F"/>
    <w:rsid w:val="00877AAE"/>
    <w:rsid w:val="008816A5"/>
    <w:rsid w:val="00885A8C"/>
    <w:rsid w:val="008A3149"/>
    <w:rsid w:val="008B3B46"/>
    <w:rsid w:val="008B546F"/>
    <w:rsid w:val="008C60BC"/>
    <w:rsid w:val="008E68EA"/>
    <w:rsid w:val="008E784B"/>
    <w:rsid w:val="00901800"/>
    <w:rsid w:val="0092701D"/>
    <w:rsid w:val="00943FFC"/>
    <w:rsid w:val="00945883"/>
    <w:rsid w:val="009D5103"/>
    <w:rsid w:val="009E6200"/>
    <w:rsid w:val="00A06A5A"/>
    <w:rsid w:val="00A22760"/>
    <w:rsid w:val="00A305D5"/>
    <w:rsid w:val="00A72E81"/>
    <w:rsid w:val="00A804EC"/>
    <w:rsid w:val="00A822A9"/>
    <w:rsid w:val="00B0291D"/>
    <w:rsid w:val="00B26CD1"/>
    <w:rsid w:val="00B503FC"/>
    <w:rsid w:val="00B61DC4"/>
    <w:rsid w:val="00BD2D14"/>
    <w:rsid w:val="00C064CC"/>
    <w:rsid w:val="00C07512"/>
    <w:rsid w:val="00C16054"/>
    <w:rsid w:val="00C23192"/>
    <w:rsid w:val="00C66E26"/>
    <w:rsid w:val="00C808BF"/>
    <w:rsid w:val="00C94306"/>
    <w:rsid w:val="00C967CA"/>
    <w:rsid w:val="00CA2EBF"/>
    <w:rsid w:val="00CD2568"/>
    <w:rsid w:val="00CF4362"/>
    <w:rsid w:val="00D11CB5"/>
    <w:rsid w:val="00D55F26"/>
    <w:rsid w:val="00D61249"/>
    <w:rsid w:val="00D6426B"/>
    <w:rsid w:val="00D93C32"/>
    <w:rsid w:val="00DF252A"/>
    <w:rsid w:val="00E71AE9"/>
    <w:rsid w:val="00E71DA0"/>
    <w:rsid w:val="00E95DCC"/>
    <w:rsid w:val="00EC7A42"/>
    <w:rsid w:val="00ED15F0"/>
    <w:rsid w:val="00F21482"/>
    <w:rsid w:val="00F31CAC"/>
    <w:rsid w:val="00F708CB"/>
    <w:rsid w:val="00F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E70EA75-59A6-40BC-9463-70821A31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bCs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Arial" w:eastAsia="Arial Unicode MS" w:hAnsi="Arial" w:cs="Arial"/>
      <w:b/>
      <w:bCs/>
      <w:color w:val="006699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footnote reference"/>
    <w:uiPriority w:val="99"/>
    <w:semiHidden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Pr>
      <w:rFonts w:cs="Times New Roman"/>
    </w:r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/>
      <w:jc w:val="both"/>
    </w:pPr>
    <w:rPr>
      <w:rFonts w:ascii="Arial" w:eastAsia="Arial Unicode MS" w:hAnsi="Arial" w:cs="Arial"/>
    </w:rPr>
  </w:style>
  <w:style w:type="paragraph" w:styleId="a7">
    <w:name w:val="Body Text Indent"/>
    <w:basedOn w:val="a"/>
    <w:link w:val="a8"/>
    <w:uiPriority w:val="99"/>
    <w:semiHidden/>
    <w:pPr>
      <w:ind w:left="360"/>
    </w:p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rFonts w:cs="Times New Roman"/>
      <w:sz w:val="24"/>
      <w:szCs w:val="24"/>
    </w:rPr>
  </w:style>
  <w:style w:type="character" w:styleId="ab">
    <w:name w:val="page number"/>
    <w:uiPriority w:val="99"/>
    <w:semiHidden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styleId="ac">
    <w:name w:val="Body Text"/>
    <w:basedOn w:val="a"/>
    <w:link w:val="ad"/>
    <w:uiPriority w:val="99"/>
    <w:semiHidden/>
    <w:pPr>
      <w:jc w:val="both"/>
    </w:pPr>
  </w:style>
  <w:style w:type="character" w:customStyle="1" w:styleId="ad">
    <w:name w:val="Основной текст Знак"/>
    <w:link w:val="ac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color w:val="000000"/>
      <w:szCs w:val="22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</w:style>
  <w:style w:type="paragraph" w:styleId="23">
    <w:name w:val="toc 2"/>
    <w:basedOn w:val="a"/>
    <w:next w:val="a"/>
    <w:autoRedefine/>
    <w:uiPriority w:val="39"/>
    <w:semiHidden/>
    <w:pPr>
      <w:ind w:left="240"/>
    </w:p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paragraph" w:styleId="af">
    <w:name w:val="footer"/>
    <w:basedOn w:val="a"/>
    <w:link w:val="af0"/>
    <w:uiPriority w:val="99"/>
    <w:semiHidden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locked/>
    <w:rPr>
      <w:rFonts w:cs="Times New Roman"/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213A90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locked/>
    <w:rsid w:val="00213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40B475B-8B7E-4DFA-B982-B6EFB249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6338</Words>
  <Characters>36127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None</Company>
  <LinksUpToDate>false</LinksUpToDate>
  <CharactersWithSpaces>42381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Elena</dc:creator>
  <cp:keywords/>
  <dc:description/>
  <cp:lastModifiedBy>admin</cp:lastModifiedBy>
  <cp:revision>2</cp:revision>
  <cp:lastPrinted>2010-11-11T17:01:00Z</cp:lastPrinted>
  <dcterms:created xsi:type="dcterms:W3CDTF">2014-03-26T16:03:00Z</dcterms:created>
  <dcterms:modified xsi:type="dcterms:W3CDTF">2014-03-26T16:03:00Z</dcterms:modified>
</cp:coreProperties>
</file>