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E2" w:rsidRPr="00353D9A" w:rsidRDefault="00C276E2" w:rsidP="00C276E2">
      <w:pPr>
        <w:spacing w:after="0" w:line="360" w:lineRule="auto"/>
        <w:ind w:firstLine="709"/>
        <w:jc w:val="both"/>
        <w:rPr>
          <w:b/>
          <w:color w:val="000000"/>
          <w:szCs w:val="28"/>
        </w:rPr>
      </w:pPr>
      <w:bookmarkStart w:id="0" w:name="_Toc281924280"/>
      <w:r w:rsidRPr="00353D9A">
        <w:rPr>
          <w:b/>
          <w:color w:val="000000"/>
          <w:szCs w:val="28"/>
        </w:rPr>
        <w:t>Оглавление</w:t>
      </w:r>
    </w:p>
    <w:p w:rsidR="00C276E2" w:rsidRPr="00353D9A" w:rsidRDefault="00C276E2" w:rsidP="00C276E2">
      <w:pPr>
        <w:spacing w:after="0" w:line="360" w:lineRule="auto"/>
        <w:ind w:firstLine="709"/>
        <w:jc w:val="both"/>
        <w:rPr>
          <w:color w:val="000000"/>
          <w:szCs w:val="28"/>
        </w:rPr>
      </w:pPr>
    </w:p>
    <w:p w:rsidR="00C276E2" w:rsidRPr="00353D9A" w:rsidRDefault="00C276E2" w:rsidP="00C276E2">
      <w:pPr>
        <w:suppressAutoHyphens/>
        <w:spacing w:after="0" w:line="360" w:lineRule="auto"/>
        <w:rPr>
          <w:color w:val="000000"/>
          <w:szCs w:val="28"/>
        </w:rPr>
      </w:pPr>
      <w:r w:rsidRPr="00353D9A">
        <w:rPr>
          <w:color w:val="000000"/>
          <w:szCs w:val="28"/>
        </w:rPr>
        <w:t>Введение</w:t>
      </w:r>
    </w:p>
    <w:p w:rsidR="00C276E2" w:rsidRPr="00353D9A" w:rsidRDefault="00C276E2" w:rsidP="00C276E2">
      <w:pPr>
        <w:suppressAutoHyphens/>
        <w:spacing w:after="0" w:line="360" w:lineRule="auto"/>
        <w:rPr>
          <w:color w:val="000000"/>
          <w:szCs w:val="28"/>
        </w:rPr>
      </w:pPr>
      <w:r w:rsidRPr="00353D9A">
        <w:rPr>
          <w:color w:val="000000"/>
          <w:szCs w:val="28"/>
        </w:rPr>
        <w:t>1. Понятие, сущность и особенности ЕНВД</w:t>
      </w:r>
    </w:p>
    <w:p w:rsidR="00C276E2" w:rsidRPr="00353D9A" w:rsidRDefault="00C276E2" w:rsidP="00C276E2">
      <w:pPr>
        <w:suppressAutoHyphens/>
        <w:spacing w:after="0" w:line="360" w:lineRule="auto"/>
        <w:rPr>
          <w:color w:val="000000"/>
          <w:szCs w:val="28"/>
        </w:rPr>
      </w:pPr>
      <w:r w:rsidRPr="00353D9A">
        <w:rPr>
          <w:color w:val="000000"/>
          <w:szCs w:val="28"/>
        </w:rPr>
        <w:t>2. Налогоплательщики и объекты налогообложения</w:t>
      </w:r>
    </w:p>
    <w:p w:rsidR="00C276E2" w:rsidRPr="00353D9A" w:rsidRDefault="00C276E2" w:rsidP="00C276E2">
      <w:pPr>
        <w:suppressAutoHyphens/>
        <w:spacing w:after="0" w:line="360" w:lineRule="auto"/>
        <w:rPr>
          <w:color w:val="000000"/>
          <w:szCs w:val="28"/>
        </w:rPr>
      </w:pPr>
      <w:r w:rsidRPr="00353D9A">
        <w:rPr>
          <w:color w:val="000000"/>
          <w:szCs w:val="28"/>
        </w:rPr>
        <w:t>3. Применение поправочных коэффициентов</w:t>
      </w:r>
    </w:p>
    <w:p w:rsidR="00C276E2" w:rsidRPr="00353D9A" w:rsidRDefault="00C276E2" w:rsidP="00C276E2">
      <w:pPr>
        <w:suppressAutoHyphens/>
        <w:spacing w:after="0" w:line="360" w:lineRule="auto"/>
        <w:rPr>
          <w:color w:val="000000"/>
          <w:szCs w:val="28"/>
        </w:rPr>
      </w:pPr>
      <w:r w:rsidRPr="00353D9A">
        <w:rPr>
          <w:color w:val="000000"/>
          <w:szCs w:val="28"/>
        </w:rPr>
        <w:t>4. Порядок уплаты единого налога</w:t>
      </w:r>
    </w:p>
    <w:p w:rsidR="00C276E2" w:rsidRPr="00353D9A" w:rsidRDefault="00C276E2" w:rsidP="00C276E2">
      <w:pPr>
        <w:suppressAutoHyphens/>
        <w:spacing w:after="0" w:line="360" w:lineRule="auto"/>
        <w:rPr>
          <w:color w:val="000000"/>
          <w:szCs w:val="28"/>
        </w:rPr>
      </w:pPr>
      <w:r w:rsidRPr="00353D9A">
        <w:rPr>
          <w:color w:val="000000"/>
          <w:szCs w:val="28"/>
        </w:rPr>
        <w:t>Заключение</w:t>
      </w:r>
    </w:p>
    <w:p w:rsidR="00C276E2" w:rsidRPr="00353D9A" w:rsidRDefault="00C276E2" w:rsidP="00C276E2">
      <w:pPr>
        <w:suppressAutoHyphens/>
        <w:spacing w:after="0" w:line="360" w:lineRule="auto"/>
        <w:rPr>
          <w:color w:val="000000"/>
          <w:szCs w:val="28"/>
        </w:rPr>
      </w:pPr>
      <w:r w:rsidRPr="00353D9A">
        <w:rPr>
          <w:color w:val="000000"/>
          <w:szCs w:val="28"/>
        </w:rPr>
        <w:t>Список используемой литературы</w:t>
      </w:r>
    </w:p>
    <w:p w:rsidR="00C276E2" w:rsidRPr="00353D9A" w:rsidRDefault="00C276E2" w:rsidP="00C276E2">
      <w:pPr>
        <w:suppressAutoHyphens/>
        <w:spacing w:after="0" w:line="360" w:lineRule="auto"/>
        <w:rPr>
          <w:color w:val="000000"/>
          <w:szCs w:val="28"/>
        </w:rPr>
      </w:pPr>
      <w:r w:rsidRPr="00353D9A">
        <w:rPr>
          <w:color w:val="000000"/>
          <w:szCs w:val="28"/>
        </w:rPr>
        <w:t>Приложение 1</w:t>
      </w:r>
    </w:p>
    <w:p w:rsidR="00C276E2" w:rsidRPr="00353D9A" w:rsidRDefault="00C276E2" w:rsidP="00C276E2">
      <w:pPr>
        <w:spacing w:after="0" w:line="360" w:lineRule="auto"/>
        <w:ind w:firstLine="709"/>
        <w:jc w:val="both"/>
        <w:rPr>
          <w:color w:val="000000"/>
          <w:szCs w:val="28"/>
        </w:rPr>
      </w:pPr>
    </w:p>
    <w:p w:rsidR="00D44488" w:rsidRPr="00353D9A" w:rsidRDefault="00C276E2" w:rsidP="00C276E2">
      <w:pPr>
        <w:spacing w:after="0" w:line="360" w:lineRule="auto"/>
        <w:ind w:firstLine="709"/>
        <w:jc w:val="both"/>
        <w:rPr>
          <w:b/>
          <w:color w:val="000000"/>
          <w:szCs w:val="28"/>
        </w:rPr>
      </w:pPr>
      <w:r w:rsidRPr="00353D9A">
        <w:rPr>
          <w:color w:val="000000"/>
          <w:szCs w:val="28"/>
        </w:rPr>
        <w:br w:type="page"/>
      </w:r>
      <w:r w:rsidR="00D44488" w:rsidRPr="00353D9A">
        <w:rPr>
          <w:b/>
          <w:color w:val="000000"/>
          <w:szCs w:val="28"/>
        </w:rPr>
        <w:t>Введение</w:t>
      </w:r>
      <w:bookmarkEnd w:id="0"/>
    </w:p>
    <w:p w:rsidR="00C276E2" w:rsidRPr="00353D9A" w:rsidRDefault="00C276E2" w:rsidP="00C276E2">
      <w:pPr>
        <w:spacing w:after="0" w:line="360" w:lineRule="auto"/>
        <w:ind w:firstLine="709"/>
        <w:jc w:val="both"/>
        <w:rPr>
          <w:color w:val="000000"/>
          <w:szCs w:val="28"/>
        </w:rPr>
      </w:pPr>
    </w:p>
    <w:p w:rsidR="00F2775B" w:rsidRPr="00353D9A" w:rsidRDefault="00F2775B" w:rsidP="00C276E2">
      <w:pPr>
        <w:spacing w:after="0" w:line="360" w:lineRule="auto"/>
        <w:ind w:firstLine="709"/>
        <w:jc w:val="both"/>
        <w:rPr>
          <w:color w:val="000000"/>
          <w:szCs w:val="28"/>
        </w:rPr>
      </w:pPr>
      <w:r w:rsidRPr="00353D9A">
        <w:rPr>
          <w:color w:val="000000"/>
          <w:szCs w:val="28"/>
        </w:rPr>
        <w:t>Глава 26.3 Налогового кодекса, регламентирующая порядок исчисления и уплаты единого налога на вмененный доход для отдельных видов деятельности, введена в действие с 1 января 2003 года.</w:t>
      </w:r>
    </w:p>
    <w:p w:rsidR="00F2775B" w:rsidRPr="00353D9A" w:rsidRDefault="00F2775B" w:rsidP="00C276E2">
      <w:pPr>
        <w:spacing w:after="0" w:line="360" w:lineRule="auto"/>
        <w:ind w:firstLine="709"/>
        <w:jc w:val="both"/>
        <w:rPr>
          <w:color w:val="000000"/>
          <w:szCs w:val="28"/>
        </w:rPr>
      </w:pPr>
      <w:r w:rsidRPr="00353D9A">
        <w:rPr>
          <w:color w:val="000000"/>
          <w:szCs w:val="28"/>
        </w:rPr>
        <w:t>В соответствии с этой главой Налогового кодекса на уплату единого налога на вмененный доход переводятся налогоплательщики, осуществляющих предпринимательскую деятельность в тех сферах, где затруднено осуществление налогового контроля за полнотой уплаты налогов, предусмотренных общим режимом налогообложения. Это, прежде всего, сфера оказания услуг населению, розничная торговля и общественное питание и ряд других видов деятельности, при которых расчеты между покупателями и продавцами осуществляются в наличной денежной форме.</w:t>
      </w:r>
    </w:p>
    <w:p w:rsidR="00F2775B" w:rsidRPr="00353D9A" w:rsidRDefault="00F2775B" w:rsidP="00C276E2">
      <w:pPr>
        <w:spacing w:after="0" w:line="360" w:lineRule="auto"/>
        <w:ind w:firstLine="709"/>
        <w:jc w:val="both"/>
        <w:rPr>
          <w:color w:val="000000"/>
          <w:szCs w:val="28"/>
        </w:rPr>
      </w:pPr>
      <w:r w:rsidRPr="00353D9A">
        <w:rPr>
          <w:color w:val="000000"/>
          <w:szCs w:val="28"/>
        </w:rPr>
        <w:t>Само название налога говорит о том, что объектом налогообложения являются не реальные доходы налогоплательщиков, а некий условный доход, вменяемый им и определяемый на основании статистических данных о доходности различных видов бизнеса. Определяется этот доход путем перемножения условной доходности за единицу физических показателей, применяемых в различных видах деятельности, на количество таких показателей.</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За период применения главы 26.3 Налогового кодекса в нее постоянно вносятся изменения, направленные на совершенствование механизма налогообложения организаций и индивидуальных предпринимателей. Уточняется перечень видов предпринимательской деятельности, при осуществлении которых налогоплательщики могут переводиться на уплату единого налога на вмененный доход, механизм исчисления этого налога, а также понятийный аппарат, используемый для целей указанной главы Налогового кодекса.</w:t>
      </w:r>
    </w:p>
    <w:p w:rsidR="00C276E2" w:rsidRPr="00353D9A" w:rsidRDefault="00C276E2" w:rsidP="00C276E2">
      <w:pPr>
        <w:spacing w:after="0" w:line="360" w:lineRule="auto"/>
        <w:ind w:firstLine="709"/>
        <w:jc w:val="both"/>
        <w:rPr>
          <w:color w:val="000000"/>
          <w:szCs w:val="28"/>
        </w:rPr>
      </w:pPr>
    </w:p>
    <w:p w:rsidR="00F2775B" w:rsidRPr="00353D9A" w:rsidRDefault="00F2775B" w:rsidP="00C276E2">
      <w:pPr>
        <w:spacing w:after="0" w:line="360" w:lineRule="auto"/>
        <w:ind w:firstLine="709"/>
        <w:jc w:val="both"/>
        <w:rPr>
          <w:b/>
          <w:snapToGrid w:val="0"/>
          <w:color w:val="000000"/>
        </w:rPr>
      </w:pPr>
      <w:r w:rsidRPr="00353D9A">
        <w:rPr>
          <w:color w:val="000000"/>
          <w:szCs w:val="28"/>
        </w:rPr>
        <w:br w:type="page"/>
      </w:r>
      <w:bookmarkStart w:id="1" w:name="_Toc281924281"/>
      <w:r w:rsidR="00C276E2" w:rsidRPr="00353D9A">
        <w:rPr>
          <w:b/>
          <w:color w:val="000000"/>
          <w:szCs w:val="28"/>
        </w:rPr>
        <w:t xml:space="preserve">1. </w:t>
      </w:r>
      <w:r w:rsidR="00D317EA" w:rsidRPr="00353D9A">
        <w:rPr>
          <w:b/>
          <w:snapToGrid w:val="0"/>
          <w:color w:val="000000"/>
        </w:rPr>
        <w:t>Понятие, с</w:t>
      </w:r>
      <w:r w:rsidRPr="00353D9A">
        <w:rPr>
          <w:b/>
          <w:snapToGrid w:val="0"/>
          <w:color w:val="000000"/>
        </w:rPr>
        <w:t>ущность и особенности ЕНВД</w:t>
      </w:r>
      <w:bookmarkEnd w:id="1"/>
    </w:p>
    <w:p w:rsidR="00C276E2" w:rsidRPr="00353D9A" w:rsidRDefault="00C276E2" w:rsidP="00C276E2">
      <w:pPr>
        <w:pStyle w:val="ConsPlusNormal"/>
        <w:widowControl/>
        <w:spacing w:line="360" w:lineRule="auto"/>
        <w:ind w:firstLine="709"/>
        <w:jc w:val="both"/>
        <w:rPr>
          <w:rFonts w:ascii="Times New Roman" w:hAnsi="Times New Roman" w:cs="Times New Roman"/>
          <w:i/>
          <w:color w:val="000000"/>
          <w:sz w:val="28"/>
          <w:szCs w:val="28"/>
        </w:rPr>
      </w:pPr>
    </w:p>
    <w:p w:rsidR="00D317EA" w:rsidRPr="00353D9A" w:rsidRDefault="00D317EA"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i/>
          <w:color w:val="000000"/>
          <w:sz w:val="28"/>
          <w:szCs w:val="28"/>
        </w:rPr>
        <w:t xml:space="preserve">Вмененный доход </w:t>
      </w:r>
      <w:r w:rsidRPr="00353D9A">
        <w:rPr>
          <w:rFonts w:ascii="Times New Roman" w:hAnsi="Times New Roman" w:cs="Times New Roman"/>
          <w:color w:val="000000"/>
          <w:sz w:val="28"/>
          <w:szCs w:val="28"/>
        </w:rPr>
        <w:t>-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F2775B" w:rsidRPr="00353D9A" w:rsidRDefault="00D317EA"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i/>
          <w:color w:val="000000"/>
          <w:sz w:val="28"/>
          <w:szCs w:val="28"/>
        </w:rPr>
        <w:t>Базовая доходность</w:t>
      </w:r>
      <w:r w:rsidRPr="00353D9A">
        <w:rPr>
          <w:rFonts w:ascii="Times New Roman" w:hAnsi="Times New Roman" w:cs="Times New Roman"/>
          <w:color w:val="000000"/>
          <w:sz w:val="28"/>
          <w:szCs w:val="28"/>
        </w:rPr>
        <w:t xml:space="preserve">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C276E2" w:rsidRPr="00353D9A" w:rsidRDefault="00F2775B" w:rsidP="00C276E2">
      <w:pPr>
        <w:spacing w:after="0" w:line="360" w:lineRule="auto"/>
        <w:ind w:firstLine="709"/>
        <w:jc w:val="both"/>
        <w:rPr>
          <w:color w:val="000000"/>
          <w:szCs w:val="28"/>
        </w:rPr>
      </w:pPr>
      <w:r w:rsidRPr="00353D9A">
        <w:rPr>
          <w:color w:val="000000"/>
          <w:szCs w:val="28"/>
        </w:rPr>
        <w:t>Уплата налога на вмененный доход является разновидностью основных специальных налоговых режимов.</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В соответствии со статьей 18 НК РФ специальным налоговым режимом признается особый порядок исчисления и уплаты налогов и сборов в течение определенного периода времени. Специальный налоговый режим применяется только в случаях и в порядке, установленных НК РФ и федеральными законами, которые принимаются в соответствии с НК РФ. При этом элементы налогообложения и налоговые льготы определяются так, как требует НК РФ, а другие особые правила могут содержаться в каких-либо иных федеральных законах.</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Таким образом, специальный режим налогообложения устанавливается налоговым законодательством, но в то же время регулируется и неналоговым законодательством, например законодательством о свободных экономических зонах, об инвестиционной деятельности при разделе продукции и т.п.</w:t>
      </w:r>
    </w:p>
    <w:p w:rsidR="00F2775B" w:rsidRPr="00353D9A" w:rsidRDefault="00F2775B" w:rsidP="00C276E2">
      <w:pPr>
        <w:spacing w:after="0" w:line="360" w:lineRule="auto"/>
        <w:ind w:firstLine="709"/>
        <w:jc w:val="both"/>
        <w:rPr>
          <w:i/>
          <w:snapToGrid w:val="0"/>
          <w:color w:val="000000"/>
          <w:szCs w:val="28"/>
        </w:rPr>
      </w:pPr>
      <w:r w:rsidRPr="00353D9A">
        <w:rPr>
          <w:i/>
          <w:snapToGrid w:val="0"/>
          <w:color w:val="000000"/>
          <w:szCs w:val="28"/>
        </w:rPr>
        <w:t>К специальным налоговым режимам, в частности, относятся:</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 система налогообложения в виде единого налога на вмененный доход для отдельных видов деятельности;</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 упрощенная система налогообложения;</w:t>
      </w:r>
    </w:p>
    <w:p w:rsidR="00F2775B" w:rsidRPr="00353D9A" w:rsidRDefault="00F2775B" w:rsidP="00C276E2">
      <w:pPr>
        <w:spacing w:after="0" w:line="360" w:lineRule="auto"/>
        <w:ind w:firstLine="709"/>
        <w:jc w:val="both"/>
        <w:rPr>
          <w:snapToGrid w:val="0"/>
          <w:color w:val="000000"/>
          <w:szCs w:val="28"/>
        </w:rPr>
      </w:pPr>
      <w:r w:rsidRPr="00353D9A">
        <w:rPr>
          <w:snapToGrid w:val="0"/>
          <w:color w:val="000000"/>
          <w:szCs w:val="28"/>
        </w:rPr>
        <w:t>- система налогообложения для сельскохозяйственных товаропроизводителей (единый сельскохозяйственный налог).</w:t>
      </w:r>
    </w:p>
    <w:p w:rsidR="00F2775B" w:rsidRPr="00353D9A" w:rsidRDefault="00F2775B" w:rsidP="00C276E2">
      <w:pPr>
        <w:spacing w:after="0" w:line="360" w:lineRule="auto"/>
        <w:ind w:firstLine="709"/>
        <w:jc w:val="both"/>
        <w:rPr>
          <w:color w:val="000000"/>
          <w:szCs w:val="28"/>
        </w:rPr>
      </w:pPr>
      <w:r w:rsidRPr="00353D9A">
        <w:rPr>
          <w:color w:val="000000"/>
          <w:szCs w:val="28"/>
        </w:rPr>
        <w:t>Порядок применения системы налогообложения в виде единого налога на вмененный доход изложен в главе 26.3 НК РФ.</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Система налогообложения в виде единого налога на вмененный доход для отдельных видов деятельности</w:t>
      </w:r>
      <w:r w:rsidR="00C276E2" w:rsidRPr="00353D9A">
        <w:rPr>
          <w:rFonts w:ascii="Times New Roman" w:hAnsi="Times New Roman" w:cs="Times New Roman"/>
          <w:color w:val="000000"/>
          <w:sz w:val="28"/>
          <w:szCs w:val="28"/>
        </w:rPr>
        <w:t xml:space="preserve"> </w:t>
      </w:r>
      <w:r w:rsidRPr="00353D9A">
        <w:rPr>
          <w:rFonts w:ascii="Times New Roman" w:hAnsi="Times New Roman" w:cs="Times New Roman"/>
          <w:color w:val="000000"/>
          <w:sz w:val="28"/>
          <w:szCs w:val="28"/>
        </w:rPr>
        <w:t>может применяться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в отношении следующих видов предпринимательской деятельности:</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2) оказания ветеринарных услуг;</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3) оказания услуг по ремонту, техническому обслуживанию и мойке автотранспортных средств;</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C276E2"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10) распространения наружной рекламы с использованием рекламных конструкций;</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11) размещения рекламы на транспортных средствах;</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A29C9" w:rsidRPr="00353D9A" w:rsidRDefault="00BA29C9"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81508" w:rsidRPr="00353D9A" w:rsidRDefault="00191788" w:rsidP="00C276E2">
      <w:pPr>
        <w:spacing w:after="0" w:line="360" w:lineRule="auto"/>
        <w:ind w:firstLine="709"/>
        <w:jc w:val="both"/>
        <w:rPr>
          <w:color w:val="000000"/>
        </w:rPr>
      </w:pPr>
      <w:r w:rsidRPr="00353D9A">
        <w:rPr>
          <w:snapToGrid w:val="0"/>
          <w:color w:val="000000"/>
        </w:rPr>
        <w:t>Основные понятия, применяемые при исчислении единого налога</w:t>
      </w:r>
      <w:r w:rsidR="00F4562E" w:rsidRPr="00353D9A">
        <w:rPr>
          <w:snapToGrid w:val="0"/>
          <w:color w:val="000000"/>
        </w:rPr>
        <w:t xml:space="preserve"> </w:t>
      </w:r>
      <w:r w:rsidRPr="00353D9A">
        <w:rPr>
          <w:snapToGrid w:val="0"/>
          <w:color w:val="000000"/>
        </w:rPr>
        <w:t xml:space="preserve">на вмененный доход изложены в </w:t>
      </w:r>
      <w:r w:rsidRPr="00353D9A">
        <w:rPr>
          <w:color w:val="000000"/>
        </w:rPr>
        <w:t>Статье 346.27.</w:t>
      </w:r>
      <w:r w:rsidRPr="00353D9A">
        <w:rPr>
          <w:b/>
          <w:color w:val="000000"/>
        </w:rPr>
        <w:t xml:space="preserve"> </w:t>
      </w:r>
      <w:r w:rsidRPr="00353D9A">
        <w:rPr>
          <w:color w:val="000000"/>
        </w:rPr>
        <w:t>Главы</w:t>
      </w:r>
      <w:r w:rsidR="00C276E2" w:rsidRPr="00353D9A">
        <w:rPr>
          <w:color w:val="000000"/>
        </w:rPr>
        <w:t xml:space="preserve"> </w:t>
      </w:r>
      <w:r w:rsidRPr="00353D9A">
        <w:rPr>
          <w:color w:val="000000"/>
        </w:rPr>
        <w:t>26.3. «Система налогообложения в виде единого налога на вмененный</w:t>
      </w:r>
      <w:r w:rsidR="00C276E2" w:rsidRPr="00353D9A">
        <w:rPr>
          <w:color w:val="000000"/>
        </w:rPr>
        <w:t xml:space="preserve"> </w:t>
      </w:r>
      <w:r w:rsidRPr="00353D9A">
        <w:rPr>
          <w:color w:val="000000"/>
        </w:rPr>
        <w:t>доход для отдельных видов деятельности».</w:t>
      </w:r>
    </w:p>
    <w:p w:rsidR="001C79ED" w:rsidRPr="00353D9A" w:rsidRDefault="00E81508" w:rsidP="00C276E2">
      <w:pPr>
        <w:pStyle w:val="ConsPlusNormal"/>
        <w:widowControl/>
        <w:spacing w:line="360" w:lineRule="auto"/>
        <w:ind w:firstLine="709"/>
        <w:jc w:val="both"/>
        <w:rPr>
          <w:rFonts w:ascii="Times New Roman" w:hAnsi="Times New Roman" w:cs="Times New Roman"/>
          <w:i/>
          <w:color w:val="000000"/>
          <w:sz w:val="28"/>
          <w:szCs w:val="28"/>
        </w:rPr>
      </w:pPr>
      <w:r w:rsidRPr="00353D9A">
        <w:rPr>
          <w:rFonts w:ascii="Times New Roman" w:hAnsi="Times New Roman" w:cs="Times New Roman"/>
          <w:i/>
          <w:color w:val="000000"/>
          <w:sz w:val="28"/>
          <w:szCs w:val="28"/>
        </w:rPr>
        <w:t xml:space="preserve">На уплату единого налога </w:t>
      </w:r>
      <w:r w:rsidR="001C79ED" w:rsidRPr="00353D9A">
        <w:rPr>
          <w:rFonts w:ascii="Times New Roman" w:hAnsi="Times New Roman" w:cs="Times New Roman"/>
          <w:i/>
          <w:color w:val="000000"/>
          <w:sz w:val="28"/>
          <w:szCs w:val="28"/>
        </w:rPr>
        <w:t>не переводятся</w:t>
      </w:r>
      <w:r w:rsidR="00191788" w:rsidRPr="00353D9A">
        <w:rPr>
          <w:rFonts w:ascii="Times New Roman" w:hAnsi="Times New Roman" w:cs="Times New Roman"/>
          <w:i/>
          <w:color w:val="000000"/>
          <w:sz w:val="28"/>
          <w:szCs w:val="28"/>
        </w:rPr>
        <w:t>:</w:t>
      </w:r>
    </w:p>
    <w:p w:rsidR="00E81508"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человек.(Применяются в отношении аптечных учреждений, признаваемых таковыми в соответствии с Федеральным законом от 22 июня 1998 года N 86-ФЗ "О лекарственных средствах", начиная с 1 января 2011 года</w:t>
      </w:r>
      <w:r w:rsidR="001C79ED" w:rsidRPr="00353D9A">
        <w:rPr>
          <w:rFonts w:ascii="Times New Roman" w:hAnsi="Times New Roman" w:cs="Times New Roman"/>
          <w:color w:val="000000"/>
          <w:sz w:val="28"/>
          <w:szCs w:val="28"/>
        </w:rPr>
        <w:t>).</w:t>
      </w:r>
    </w:p>
    <w:p w:rsidR="00E81508"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2) организации, в которых доля участия других организаций составляет более 25 процентов. .(Применяются в отношении аптечных учреждений, признаваемых таковыми в соответствии с Федеральным законом от 22 июня 1998 года N 86-ФЗ "О лекарственных средствах", начиная с 1 января 2011 года)</w:t>
      </w:r>
      <w:r w:rsidR="00191788" w:rsidRPr="00353D9A">
        <w:rPr>
          <w:rFonts w:ascii="Times New Roman" w:hAnsi="Times New Roman" w:cs="Times New Roman"/>
          <w:color w:val="000000"/>
          <w:sz w:val="28"/>
          <w:szCs w:val="28"/>
        </w:rPr>
        <w:t>.</w:t>
      </w:r>
    </w:p>
    <w:p w:rsidR="00E81508"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3) индивидуальные предприниматели, перешедшие в соответствии с главой 26.2 Налогового Кодекса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переведены на систему налогообложения в виде единого налога на вмененный доход для отдельных видов деятельности;</w:t>
      </w:r>
    </w:p>
    <w:p w:rsidR="00E81508"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C276E2"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5) организации и индивидуальные предприниматели, осуществляющие виды предпринимательской деятельности, в части оказания услуг по передаче во временное владение и (или) в пользование автозаправочных станций и автогазозаправочных станций.</w:t>
      </w:r>
    </w:p>
    <w:p w:rsidR="00E81508"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w:t>
      </w:r>
    </w:p>
    <w:p w:rsidR="00F2775B" w:rsidRPr="00353D9A" w:rsidRDefault="00E81508"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Уплата индивидуальными предпринимателями единого налога предусматривает их освобождение от обязанности по уплате налога на доходы физических лиц, налога на имущество физических лиц.</w:t>
      </w:r>
    </w:p>
    <w:p w:rsidR="00883F09" w:rsidRPr="00353D9A" w:rsidRDefault="00883F09" w:rsidP="00C276E2">
      <w:pPr>
        <w:spacing w:after="0" w:line="360" w:lineRule="auto"/>
        <w:ind w:firstLine="709"/>
        <w:jc w:val="both"/>
        <w:rPr>
          <w:color w:val="000000"/>
          <w:szCs w:val="28"/>
        </w:rPr>
      </w:pPr>
    </w:p>
    <w:p w:rsidR="00C276E2" w:rsidRPr="00353D9A" w:rsidRDefault="00883F09" w:rsidP="00883F09">
      <w:pPr>
        <w:pStyle w:val="ConsPlusNormal"/>
        <w:widowControl/>
        <w:spacing w:line="360" w:lineRule="auto"/>
        <w:ind w:firstLine="709"/>
        <w:jc w:val="both"/>
        <w:rPr>
          <w:rFonts w:ascii="Times New Roman" w:hAnsi="Times New Roman" w:cs="Times New Roman"/>
          <w:b/>
          <w:color w:val="000000"/>
          <w:sz w:val="28"/>
          <w:szCs w:val="28"/>
        </w:rPr>
      </w:pPr>
      <w:bookmarkStart w:id="2" w:name="_Toc281924282"/>
      <w:r w:rsidRPr="00353D9A">
        <w:rPr>
          <w:rFonts w:ascii="Times New Roman" w:hAnsi="Times New Roman" w:cs="Times New Roman"/>
          <w:b/>
          <w:color w:val="000000"/>
          <w:sz w:val="28"/>
          <w:szCs w:val="28"/>
        </w:rPr>
        <w:t xml:space="preserve">2. </w:t>
      </w:r>
      <w:r w:rsidR="00B709AB" w:rsidRPr="00353D9A">
        <w:rPr>
          <w:rFonts w:ascii="Times New Roman" w:hAnsi="Times New Roman" w:cs="Times New Roman"/>
          <w:b/>
          <w:color w:val="000000"/>
          <w:sz w:val="28"/>
          <w:szCs w:val="28"/>
        </w:rPr>
        <w:t>Налогоплательщики и объекты налогообложения</w:t>
      </w:r>
      <w:bookmarkEnd w:id="2"/>
    </w:p>
    <w:p w:rsidR="00883F09" w:rsidRPr="00353D9A" w:rsidRDefault="00883F09" w:rsidP="00C276E2">
      <w:pPr>
        <w:spacing w:after="0" w:line="360" w:lineRule="auto"/>
        <w:ind w:firstLine="709"/>
        <w:jc w:val="both"/>
        <w:rPr>
          <w:i/>
          <w:color w:val="000000"/>
          <w:szCs w:val="28"/>
        </w:rPr>
      </w:pPr>
    </w:p>
    <w:p w:rsidR="0069325C" w:rsidRPr="00353D9A" w:rsidRDefault="001C79ED" w:rsidP="00C276E2">
      <w:pPr>
        <w:spacing w:after="0" w:line="360" w:lineRule="auto"/>
        <w:ind w:firstLine="709"/>
        <w:jc w:val="both"/>
        <w:rPr>
          <w:color w:val="000000"/>
          <w:szCs w:val="28"/>
        </w:rPr>
      </w:pPr>
      <w:r w:rsidRPr="00353D9A">
        <w:rPr>
          <w:i/>
          <w:color w:val="000000"/>
          <w:szCs w:val="28"/>
        </w:rPr>
        <w:t>Налогоплательщиками</w:t>
      </w:r>
      <w:r w:rsidRPr="00353D9A">
        <w:rPr>
          <w:color w:val="000000"/>
          <w:szCs w:val="28"/>
        </w:rPr>
        <w:t xml:space="preserve"> являются</w:t>
      </w:r>
      <w:r w:rsidR="0069325C" w:rsidRPr="00353D9A">
        <w:rPr>
          <w:color w:val="000000"/>
          <w:szCs w:val="28"/>
        </w:rPr>
        <w:t>: О</w:t>
      </w:r>
      <w:r w:rsidRPr="00353D9A">
        <w:rPr>
          <w:color w:val="000000"/>
          <w:szCs w:val="28"/>
        </w:rPr>
        <w:t>рганизации и индивидуальные предприниматели, осуществляющие на территории муниципального района, городского округа, городов федерального значения Москвы и Санкт-Петербурга, в которых введен единый налог, предпринимательскую деятельность, облагаемую единым налогом.</w:t>
      </w:r>
    </w:p>
    <w:p w:rsidR="001C79ED" w:rsidRPr="00353D9A" w:rsidRDefault="001C79ED" w:rsidP="00C276E2">
      <w:pPr>
        <w:spacing w:after="0" w:line="360" w:lineRule="auto"/>
        <w:ind w:firstLine="709"/>
        <w:jc w:val="both"/>
        <w:rPr>
          <w:color w:val="000000"/>
          <w:szCs w:val="28"/>
        </w:rPr>
      </w:pPr>
      <w:r w:rsidRPr="00353D9A">
        <w:rPr>
          <w:color w:val="000000"/>
          <w:szCs w:val="28"/>
        </w:rPr>
        <w:t>Организации и индивидуальные предприниматели, осуществляющие виды предпринимательской деятельности, переведенные решениями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на уплату единого налога, обязаны встать на учет в налоговом органе:</w:t>
      </w:r>
    </w:p>
    <w:p w:rsidR="0069325C" w:rsidRPr="00353D9A" w:rsidRDefault="001C79ED" w:rsidP="00C276E2">
      <w:pPr>
        <w:pStyle w:val="ConsPlusNormal"/>
        <w:widowControl/>
        <w:numPr>
          <w:ilvl w:val="0"/>
          <w:numId w:val="4"/>
        </w:numPr>
        <w:spacing w:line="360" w:lineRule="auto"/>
        <w:ind w:left="0"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по месту осуществления предпринимательской деятельности (за исключением видов предпринимательской деятельности, указанных в абзаце третьем настоящего пункта);</w:t>
      </w:r>
    </w:p>
    <w:p w:rsidR="001C79ED" w:rsidRPr="00353D9A" w:rsidRDefault="001C79ED" w:rsidP="00C276E2">
      <w:pPr>
        <w:pStyle w:val="ConsPlusNormal"/>
        <w:widowControl/>
        <w:numPr>
          <w:ilvl w:val="0"/>
          <w:numId w:val="4"/>
        </w:numPr>
        <w:spacing w:line="360" w:lineRule="auto"/>
        <w:ind w:left="0"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по месту нахождения организации (месту жительства индивидуального предпринимателя) - по видам предпринимательской деятельности.</w:t>
      </w:r>
    </w:p>
    <w:p w:rsidR="0069325C"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городских округов или муниципальных районов, на нескольких внутригородских территориях городов федерального значения Москвы и Санкт-Петербурга, на территориях которых действуют несколько налоговых органов,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 организации или индивидуального предпринимателя в качестве налогоплательщика единого налога.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Организации или индивидуальные предприниматели, которые подлежат постановке на учет в качестве налогоплательщиков единого налога, подают в налоговые органы в течение пяти дней со дня начала осуществления предпринимательской деятельности, подлежащей налогообложению единым налогом, заявление о постановке на учет организации или индивидуального предпринимателя в качестве налогоплательщика единого налога.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Снятие с учета налогоплательщика единого налога при прекращении им предпринимательской деятельности, подлежащей налогообложению единым налогом, осуществляется на основании заявления, поданного в налоговый орган в течение пяти дней со дня прекращения предпринимательской деятельности, облагаемой единым налогом.</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Налоговый орган в течение пяти дней со дня получения от налогоплательщика заявления о снятии с учета в качестве налогоплательщика единого налога направляет ему уведомление о снятии его с учета.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i/>
          <w:color w:val="000000"/>
          <w:sz w:val="28"/>
          <w:szCs w:val="28"/>
        </w:rPr>
        <w:t xml:space="preserve">Объектом налогообложения </w:t>
      </w:r>
      <w:r w:rsidRPr="00353D9A">
        <w:rPr>
          <w:rFonts w:ascii="Times New Roman" w:hAnsi="Times New Roman" w:cs="Times New Roman"/>
          <w:color w:val="000000"/>
          <w:sz w:val="28"/>
          <w:szCs w:val="28"/>
        </w:rPr>
        <w:t>для применения единого налога признается вмененный доход налогоплательщика.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r w:rsidR="00C276E2" w:rsidRPr="00353D9A">
        <w:rPr>
          <w:rFonts w:ascii="Times New Roman" w:hAnsi="Times New Roman" w:cs="Times New Roman"/>
          <w:color w:val="000000"/>
          <w:sz w:val="28"/>
          <w:szCs w:val="28"/>
        </w:rPr>
        <w:t xml:space="preserve"> </w:t>
      </w:r>
      <w:r w:rsidRPr="00353D9A">
        <w:rPr>
          <w:rFonts w:ascii="Times New Roman" w:hAnsi="Times New Roman" w:cs="Times New Roman"/>
          <w:color w:val="000000"/>
          <w:sz w:val="28"/>
          <w:szCs w:val="28"/>
        </w:rPr>
        <w:t>(Приложение 1).</w:t>
      </w:r>
    </w:p>
    <w:p w:rsidR="008A2B70" w:rsidRPr="00353D9A" w:rsidRDefault="008A2B7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8A2B70" w:rsidRPr="00353D9A" w:rsidRDefault="008A2B7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Под физическими показателями по видам деятельности подразумевается количество работников, площадь торгового зала, количество транспортных средств и т.д. в зависимости от конкретного вида деятельности. Например, если оказанием бытовых услуг на предприятии занимаются 10 человек, то сумма вмененного дохода за месяц будет равна 75000 руб. (Базовая доходность на 1 человека умноженная на 10).</w:t>
      </w:r>
    </w:p>
    <w:p w:rsidR="00C276E2" w:rsidRPr="00353D9A" w:rsidRDefault="008A2B7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Под количеством работников понимается среднесписочная численность всех работников за каждый календарный месяц налогового периода (в том числе работающих по совместительству, договорам подряда и другим договорам гражданско – правового характера).</w:t>
      </w:r>
    </w:p>
    <w:p w:rsidR="001C79ED"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69325C" w:rsidRPr="00353D9A" w:rsidRDefault="001C79ED"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883F09" w:rsidRPr="00353D9A" w:rsidRDefault="00883F09" w:rsidP="00C276E2">
      <w:pPr>
        <w:pStyle w:val="ConsPlusNormal"/>
        <w:widowControl/>
        <w:spacing w:line="360" w:lineRule="auto"/>
        <w:ind w:firstLine="709"/>
        <w:jc w:val="both"/>
        <w:rPr>
          <w:rFonts w:ascii="Times New Roman" w:hAnsi="Times New Roman" w:cs="Times New Roman"/>
          <w:color w:val="000000"/>
          <w:sz w:val="28"/>
          <w:szCs w:val="28"/>
        </w:rPr>
      </w:pPr>
    </w:p>
    <w:p w:rsidR="00F2775B" w:rsidRPr="00353D9A" w:rsidRDefault="00883F09" w:rsidP="00883F09">
      <w:pPr>
        <w:pStyle w:val="ConsPlusNormal"/>
        <w:widowControl/>
        <w:spacing w:line="360" w:lineRule="auto"/>
        <w:ind w:firstLine="709"/>
        <w:jc w:val="both"/>
        <w:rPr>
          <w:rFonts w:ascii="Times New Roman" w:hAnsi="Times New Roman" w:cs="Times New Roman"/>
          <w:b/>
          <w:color w:val="000000"/>
          <w:sz w:val="28"/>
          <w:szCs w:val="28"/>
        </w:rPr>
      </w:pPr>
      <w:bookmarkStart w:id="3" w:name="_Toc281924283"/>
      <w:r w:rsidRPr="00353D9A">
        <w:rPr>
          <w:rFonts w:ascii="Times New Roman" w:hAnsi="Times New Roman" w:cs="Times New Roman"/>
          <w:b/>
          <w:color w:val="000000"/>
          <w:sz w:val="28"/>
          <w:szCs w:val="28"/>
        </w:rPr>
        <w:t xml:space="preserve">3. </w:t>
      </w:r>
      <w:r w:rsidR="008A2B70" w:rsidRPr="00353D9A">
        <w:rPr>
          <w:rFonts w:ascii="Times New Roman" w:hAnsi="Times New Roman" w:cs="Times New Roman"/>
          <w:b/>
          <w:color w:val="000000"/>
          <w:sz w:val="28"/>
          <w:szCs w:val="28"/>
        </w:rPr>
        <w:t>Применение поправочных коэффициентов</w:t>
      </w:r>
      <w:bookmarkEnd w:id="3"/>
    </w:p>
    <w:p w:rsidR="00883F09" w:rsidRPr="00353D9A" w:rsidRDefault="00883F09" w:rsidP="00C276E2">
      <w:pPr>
        <w:pStyle w:val="ConsPlusNormal"/>
        <w:widowControl/>
        <w:spacing w:line="360" w:lineRule="auto"/>
        <w:ind w:firstLine="709"/>
        <w:jc w:val="both"/>
        <w:rPr>
          <w:rFonts w:ascii="Times New Roman" w:hAnsi="Times New Roman" w:cs="Times New Roman"/>
          <w:color w:val="000000"/>
          <w:sz w:val="28"/>
          <w:szCs w:val="28"/>
        </w:rPr>
      </w:pPr>
    </w:p>
    <w:p w:rsidR="00BA4DF0" w:rsidRPr="00353D9A" w:rsidRDefault="0069325C"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К</w:t>
      </w:r>
      <w:r w:rsidR="00BA4DF0" w:rsidRPr="00353D9A">
        <w:rPr>
          <w:rFonts w:ascii="Times New Roman" w:hAnsi="Times New Roman" w:cs="Times New Roman"/>
          <w:color w:val="000000"/>
          <w:sz w:val="28"/>
          <w:szCs w:val="28"/>
        </w:rPr>
        <w:t>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К1 -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До 1 января 2009 года если предпринимательская деятельность, облагаемая ЕНВД, осуществлялась не с 1 числа отчетного месяца, то коэффициент К2</w:t>
      </w:r>
      <w:r w:rsidR="00C276E2" w:rsidRPr="00353D9A">
        <w:rPr>
          <w:rFonts w:ascii="Times New Roman" w:hAnsi="Times New Roman" w:cs="Times New Roman"/>
          <w:color w:val="000000"/>
          <w:sz w:val="28"/>
          <w:szCs w:val="28"/>
        </w:rPr>
        <w:t xml:space="preserve"> </w:t>
      </w:r>
      <w:r w:rsidRPr="00353D9A">
        <w:rPr>
          <w:rFonts w:ascii="Times New Roman" w:hAnsi="Times New Roman" w:cs="Times New Roman"/>
          <w:color w:val="000000"/>
          <w:sz w:val="28"/>
          <w:szCs w:val="28"/>
        </w:rPr>
        <w:t>корректировался с учетом количества дней ведения такой деятельности. Начиная с 1 января 2009 года эта корректировка была отменена.</w:t>
      </w:r>
    </w:p>
    <w:p w:rsidR="00C276E2"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Значения корректирующего коэффициента К2 определяются для всех категорий налогоплательщиков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период не менее чем календарный год и могут быть установлены в пределах от 0,005 до 1 включительно.</w:t>
      </w:r>
    </w:p>
    <w:p w:rsidR="008A2B70" w:rsidRPr="00353D9A" w:rsidRDefault="008A2B70" w:rsidP="00C276E2">
      <w:pPr>
        <w:pStyle w:val="ConsPlusNormal"/>
        <w:widowControl/>
        <w:spacing w:line="360" w:lineRule="auto"/>
        <w:ind w:firstLine="709"/>
        <w:jc w:val="both"/>
        <w:rPr>
          <w:rFonts w:ascii="Times New Roman" w:hAnsi="Times New Roman" w:cs="Times New Roman"/>
          <w:color w:val="000000"/>
          <w:sz w:val="28"/>
          <w:szCs w:val="28"/>
        </w:rPr>
      </w:pPr>
    </w:p>
    <w:p w:rsidR="00BA4DF0" w:rsidRPr="00353D9A" w:rsidRDefault="00F54C5B" w:rsidP="00F54C5B">
      <w:pPr>
        <w:pStyle w:val="ConsPlusNormal"/>
        <w:widowControl/>
        <w:spacing w:line="360" w:lineRule="auto"/>
        <w:ind w:firstLine="709"/>
        <w:jc w:val="both"/>
        <w:rPr>
          <w:rFonts w:ascii="Times New Roman" w:hAnsi="Times New Roman" w:cs="Times New Roman"/>
          <w:b/>
          <w:color w:val="000000"/>
          <w:sz w:val="28"/>
          <w:szCs w:val="28"/>
        </w:rPr>
      </w:pPr>
      <w:bookmarkStart w:id="4" w:name="_Toc281924284"/>
      <w:r w:rsidRPr="00353D9A">
        <w:rPr>
          <w:rFonts w:ascii="Times New Roman" w:hAnsi="Times New Roman" w:cs="Times New Roman"/>
          <w:b/>
          <w:color w:val="000000"/>
          <w:sz w:val="28"/>
          <w:szCs w:val="28"/>
        </w:rPr>
        <w:t xml:space="preserve">4. </w:t>
      </w:r>
      <w:r w:rsidR="0069325C" w:rsidRPr="00353D9A">
        <w:rPr>
          <w:rFonts w:ascii="Times New Roman" w:hAnsi="Times New Roman" w:cs="Times New Roman"/>
          <w:b/>
          <w:color w:val="000000"/>
          <w:sz w:val="28"/>
          <w:szCs w:val="28"/>
        </w:rPr>
        <w:t>Порядок уплаты единого налога</w:t>
      </w:r>
      <w:bookmarkEnd w:id="4"/>
    </w:p>
    <w:p w:rsidR="00F54C5B" w:rsidRPr="00353D9A" w:rsidRDefault="00F54C5B" w:rsidP="00C276E2">
      <w:pPr>
        <w:pStyle w:val="ConsPlusNormal"/>
        <w:widowControl/>
        <w:spacing w:line="360" w:lineRule="auto"/>
        <w:ind w:firstLine="709"/>
        <w:jc w:val="both"/>
        <w:rPr>
          <w:rFonts w:ascii="Times New Roman" w:hAnsi="Times New Roman" w:cs="Times New Roman"/>
          <w:color w:val="000000"/>
          <w:sz w:val="28"/>
          <w:szCs w:val="28"/>
        </w:rPr>
      </w:pPr>
    </w:p>
    <w:p w:rsidR="0069325C"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Налоговым периодом по единому налогу признается квартал.</w:t>
      </w:r>
    </w:p>
    <w:p w:rsidR="00C276E2"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Ставка единого налога устанавливается в размере 15 процентов величины вмененного дохода.</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BA4DF0" w:rsidRPr="00353D9A" w:rsidRDefault="00BA4DF0" w:rsidP="00C276E2">
      <w:pPr>
        <w:pStyle w:val="ConsPlusNormal"/>
        <w:widowControl/>
        <w:spacing w:line="360" w:lineRule="auto"/>
        <w:ind w:firstLine="709"/>
        <w:jc w:val="both"/>
        <w:rPr>
          <w:rFonts w:ascii="Times New Roman" w:hAnsi="Times New Roman" w:cs="Times New Roman"/>
          <w:color w:val="000000"/>
          <w:sz w:val="28"/>
          <w:szCs w:val="28"/>
        </w:rPr>
      </w:pPr>
      <w:r w:rsidRPr="00353D9A">
        <w:rPr>
          <w:rFonts w:ascii="Times New Roman" w:hAnsi="Times New Roman" w:cs="Times New Roman"/>
          <w:color w:val="000000"/>
          <w:sz w:val="28"/>
          <w:szCs w:val="28"/>
        </w:rPr>
        <w:t>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p>
    <w:p w:rsidR="00F4562E" w:rsidRPr="00353D9A" w:rsidRDefault="00F4562E" w:rsidP="00C276E2">
      <w:pPr>
        <w:spacing w:after="0" w:line="360" w:lineRule="auto"/>
        <w:ind w:firstLine="709"/>
        <w:jc w:val="both"/>
        <w:rPr>
          <w:color w:val="FFFFFF"/>
          <w:szCs w:val="28"/>
          <w:lang w:val="en-US"/>
        </w:rPr>
      </w:pPr>
      <w:r w:rsidRPr="00353D9A">
        <w:rPr>
          <w:color w:val="FFFFFF"/>
          <w:szCs w:val="28"/>
          <w:lang w:val="en-US"/>
        </w:rPr>
        <w:t>единый налог базовый доход</w:t>
      </w:r>
    </w:p>
    <w:p w:rsidR="00F4562E" w:rsidRPr="00353D9A" w:rsidRDefault="00F4562E" w:rsidP="00C276E2">
      <w:pPr>
        <w:spacing w:after="0" w:line="360" w:lineRule="auto"/>
        <w:ind w:firstLine="709"/>
        <w:jc w:val="both"/>
        <w:rPr>
          <w:color w:val="000000"/>
          <w:szCs w:val="28"/>
          <w:lang w:val="en-US"/>
        </w:rPr>
      </w:pPr>
    </w:p>
    <w:p w:rsidR="00BA4DF0" w:rsidRPr="00353D9A" w:rsidRDefault="00BA4DF0" w:rsidP="00F54C5B">
      <w:pPr>
        <w:spacing w:after="0" w:line="360" w:lineRule="auto"/>
        <w:ind w:firstLine="709"/>
        <w:jc w:val="both"/>
        <w:rPr>
          <w:b/>
          <w:color w:val="000000"/>
          <w:szCs w:val="28"/>
        </w:rPr>
      </w:pPr>
      <w:r w:rsidRPr="00353D9A">
        <w:rPr>
          <w:color w:val="000000"/>
          <w:szCs w:val="28"/>
        </w:rPr>
        <w:br w:type="page"/>
      </w:r>
      <w:bookmarkStart w:id="5" w:name="_Toc281924285"/>
      <w:r w:rsidRPr="00353D9A">
        <w:rPr>
          <w:b/>
          <w:color w:val="000000"/>
          <w:szCs w:val="28"/>
        </w:rPr>
        <w:t>Заключение</w:t>
      </w:r>
      <w:bookmarkEnd w:id="5"/>
    </w:p>
    <w:p w:rsidR="00F54C5B" w:rsidRPr="00353D9A" w:rsidRDefault="00F54C5B" w:rsidP="00C276E2">
      <w:pPr>
        <w:spacing w:after="0" w:line="360" w:lineRule="auto"/>
        <w:ind w:firstLine="709"/>
        <w:jc w:val="both"/>
        <w:rPr>
          <w:color w:val="000000"/>
          <w:szCs w:val="28"/>
        </w:rPr>
      </w:pPr>
    </w:p>
    <w:p w:rsidR="00C276E2" w:rsidRPr="00353D9A" w:rsidRDefault="00BA4DF0" w:rsidP="00C276E2">
      <w:pPr>
        <w:spacing w:after="0" w:line="360" w:lineRule="auto"/>
        <w:ind w:firstLine="709"/>
        <w:jc w:val="both"/>
        <w:rPr>
          <w:color w:val="000000"/>
          <w:szCs w:val="28"/>
        </w:rPr>
      </w:pPr>
      <w:r w:rsidRPr="00353D9A">
        <w:rPr>
          <w:color w:val="000000"/>
          <w:szCs w:val="28"/>
        </w:rPr>
        <w:t>Таким образом, система налогообложения в виде налога на вмененный доход является разновидностью основных специальных налоговых режимов.</w:t>
      </w:r>
    </w:p>
    <w:p w:rsidR="00BA4DF0" w:rsidRPr="00353D9A" w:rsidRDefault="00BA4DF0" w:rsidP="00C276E2">
      <w:pPr>
        <w:spacing w:after="0" w:line="360" w:lineRule="auto"/>
        <w:ind w:firstLine="709"/>
        <w:jc w:val="both"/>
        <w:rPr>
          <w:color w:val="000000"/>
          <w:szCs w:val="28"/>
        </w:rPr>
      </w:pPr>
      <w:r w:rsidRPr="00353D9A">
        <w:rPr>
          <w:color w:val="000000"/>
          <w:szCs w:val="28"/>
        </w:rPr>
        <w:t>Порядок применения системы налогообложения в виде единого налога на вмененный доход изложен в главе 26.3 НК РФ.</w:t>
      </w:r>
    </w:p>
    <w:p w:rsidR="00C276E2" w:rsidRPr="00353D9A" w:rsidRDefault="00BA4DF0" w:rsidP="00C276E2">
      <w:pPr>
        <w:spacing w:after="0" w:line="360" w:lineRule="auto"/>
        <w:ind w:firstLine="709"/>
        <w:jc w:val="both"/>
        <w:rPr>
          <w:color w:val="000000"/>
          <w:szCs w:val="28"/>
        </w:rPr>
      </w:pPr>
      <w:r w:rsidRPr="00353D9A">
        <w:rPr>
          <w:color w:val="000000"/>
          <w:szCs w:val="28"/>
        </w:rPr>
        <w:t>Единый налог на вмененный доход вводят на своей территории региональные власти. Перечень видов предпринимательской деятельности, для которых вводится единый налог, устанавливают региональные власти.</w:t>
      </w:r>
    </w:p>
    <w:p w:rsidR="00BA4DF0" w:rsidRPr="00353D9A" w:rsidRDefault="00BA4DF0" w:rsidP="00C276E2">
      <w:pPr>
        <w:spacing w:after="0" w:line="360" w:lineRule="auto"/>
        <w:ind w:firstLine="709"/>
        <w:jc w:val="both"/>
        <w:rPr>
          <w:color w:val="000000"/>
          <w:szCs w:val="28"/>
        </w:rPr>
      </w:pPr>
      <w:r w:rsidRPr="00353D9A">
        <w:rPr>
          <w:color w:val="000000"/>
          <w:szCs w:val="28"/>
        </w:rPr>
        <w:t>Объект налогообложения единым налогом - вмененный доход. Это потенциальный доход, который, по расчетам региональных властей, возможно получить от бизнеса, облагаемого ЕНВД.</w:t>
      </w:r>
    </w:p>
    <w:p w:rsidR="00C276E2" w:rsidRPr="00353D9A" w:rsidRDefault="00BA4DF0" w:rsidP="00C276E2">
      <w:pPr>
        <w:spacing w:after="0" w:line="360" w:lineRule="auto"/>
        <w:ind w:firstLine="709"/>
        <w:jc w:val="both"/>
        <w:rPr>
          <w:color w:val="000000"/>
          <w:szCs w:val="28"/>
        </w:rPr>
      </w:pPr>
      <w:r w:rsidRPr="00353D9A">
        <w:rPr>
          <w:color w:val="000000"/>
          <w:szCs w:val="28"/>
        </w:rPr>
        <w:t>Эта система налогообложения предполагает замену следующих налогов уплатой единого налога на вмененный доход:</w:t>
      </w:r>
    </w:p>
    <w:p w:rsidR="00BA4DF0" w:rsidRPr="00353D9A" w:rsidRDefault="00BA4DF0" w:rsidP="00C276E2">
      <w:pPr>
        <w:spacing w:after="0" w:line="360" w:lineRule="auto"/>
        <w:ind w:firstLine="709"/>
        <w:jc w:val="both"/>
        <w:rPr>
          <w:color w:val="000000"/>
          <w:szCs w:val="28"/>
        </w:rPr>
      </w:pPr>
      <w:r w:rsidRPr="00353D9A">
        <w:rPr>
          <w:color w:val="000000"/>
          <w:szCs w:val="28"/>
        </w:rPr>
        <w:t>- налог на имущество;</w:t>
      </w:r>
    </w:p>
    <w:p w:rsidR="00BA4DF0" w:rsidRPr="00353D9A" w:rsidRDefault="00BA4DF0" w:rsidP="00C276E2">
      <w:pPr>
        <w:spacing w:after="0" w:line="360" w:lineRule="auto"/>
        <w:ind w:firstLine="709"/>
        <w:jc w:val="both"/>
        <w:rPr>
          <w:color w:val="000000"/>
          <w:szCs w:val="28"/>
        </w:rPr>
      </w:pPr>
      <w:r w:rsidRPr="00353D9A">
        <w:rPr>
          <w:color w:val="000000"/>
          <w:szCs w:val="28"/>
        </w:rPr>
        <w:t>- ЕСН;</w:t>
      </w:r>
    </w:p>
    <w:p w:rsidR="00BA4DF0" w:rsidRPr="00353D9A" w:rsidRDefault="00BA4DF0" w:rsidP="00C276E2">
      <w:pPr>
        <w:spacing w:after="0" w:line="360" w:lineRule="auto"/>
        <w:ind w:firstLine="709"/>
        <w:jc w:val="both"/>
        <w:rPr>
          <w:color w:val="000000"/>
          <w:szCs w:val="28"/>
        </w:rPr>
      </w:pPr>
      <w:r w:rsidRPr="00353D9A">
        <w:rPr>
          <w:color w:val="000000"/>
          <w:szCs w:val="28"/>
        </w:rPr>
        <w:t>- налог на прибыль;</w:t>
      </w:r>
    </w:p>
    <w:p w:rsidR="00BA4DF0" w:rsidRPr="00353D9A" w:rsidRDefault="00BA4DF0" w:rsidP="00C276E2">
      <w:pPr>
        <w:spacing w:after="0" w:line="360" w:lineRule="auto"/>
        <w:ind w:firstLine="709"/>
        <w:jc w:val="both"/>
        <w:rPr>
          <w:color w:val="000000"/>
          <w:szCs w:val="28"/>
        </w:rPr>
      </w:pPr>
      <w:r w:rsidRPr="00353D9A">
        <w:rPr>
          <w:color w:val="000000"/>
          <w:szCs w:val="28"/>
        </w:rPr>
        <w:t>- НДС (кроме НДС при ввозе товаров в Россию).</w:t>
      </w:r>
    </w:p>
    <w:p w:rsidR="00BA4DF0" w:rsidRPr="00353D9A" w:rsidRDefault="00BA4DF0" w:rsidP="00C276E2">
      <w:pPr>
        <w:spacing w:after="0" w:line="360" w:lineRule="auto"/>
        <w:ind w:firstLine="709"/>
        <w:jc w:val="both"/>
        <w:rPr>
          <w:color w:val="000000"/>
          <w:szCs w:val="28"/>
        </w:rPr>
      </w:pPr>
    </w:p>
    <w:p w:rsidR="00C30C7F" w:rsidRPr="00353D9A" w:rsidRDefault="00C30C7F" w:rsidP="00F54C5B">
      <w:pPr>
        <w:spacing w:after="0" w:line="360" w:lineRule="auto"/>
        <w:ind w:firstLine="709"/>
        <w:jc w:val="both"/>
        <w:rPr>
          <w:b/>
          <w:bCs/>
          <w:color w:val="000000"/>
          <w:szCs w:val="26"/>
        </w:rPr>
      </w:pPr>
      <w:r w:rsidRPr="00353D9A">
        <w:rPr>
          <w:color w:val="000000"/>
          <w:szCs w:val="28"/>
        </w:rPr>
        <w:br w:type="page"/>
      </w:r>
    </w:p>
    <w:p w:rsidR="00201B16" w:rsidRPr="00353D9A" w:rsidRDefault="00C30C7F" w:rsidP="00C276E2">
      <w:pPr>
        <w:pStyle w:val="2"/>
        <w:spacing w:before="0" w:line="360" w:lineRule="auto"/>
        <w:ind w:firstLine="709"/>
        <w:jc w:val="both"/>
        <w:rPr>
          <w:color w:val="000000"/>
          <w:sz w:val="28"/>
        </w:rPr>
      </w:pPr>
      <w:bookmarkStart w:id="6" w:name="_Toc281924287"/>
      <w:r w:rsidRPr="00353D9A">
        <w:rPr>
          <w:color w:val="000000"/>
          <w:sz w:val="28"/>
        </w:rPr>
        <w:t>Приложение 1</w:t>
      </w:r>
      <w:bookmarkEnd w:id="6"/>
    </w:p>
    <w:p w:rsidR="00C30C7F" w:rsidRPr="00353D9A" w:rsidRDefault="00C30C7F" w:rsidP="00C276E2">
      <w:pPr>
        <w:spacing w:after="0" w:line="360" w:lineRule="auto"/>
        <w:ind w:firstLine="709"/>
        <w:jc w:val="both"/>
        <w:rPr>
          <w:color w:val="000000"/>
        </w:rPr>
      </w:pPr>
    </w:p>
    <w:p w:rsidR="00C30C7F" w:rsidRPr="00353D9A" w:rsidRDefault="00043643" w:rsidP="00C276E2">
      <w:pPr>
        <w:spacing w:after="0" w:line="360" w:lineRule="auto"/>
        <w:ind w:firstLine="709"/>
        <w:jc w:val="both"/>
        <w:rPr>
          <w:color w:val="000000"/>
        </w:rPr>
      </w:pPr>
      <w:r>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111.png" style="width:297.75pt;height:423.75pt;visibility:visible">
            <v:imagedata r:id="rId8" o:title="111"/>
          </v:shape>
        </w:pict>
      </w:r>
    </w:p>
    <w:p w:rsidR="00F54C5B" w:rsidRPr="00353D9A" w:rsidRDefault="00F54C5B" w:rsidP="00C276E2">
      <w:pPr>
        <w:spacing w:after="0" w:line="360" w:lineRule="auto"/>
        <w:ind w:firstLine="709"/>
        <w:jc w:val="both"/>
        <w:rPr>
          <w:color w:val="FFFFFF"/>
        </w:rPr>
      </w:pPr>
      <w:bookmarkStart w:id="7" w:name="_GoBack"/>
      <w:bookmarkEnd w:id="7"/>
    </w:p>
    <w:sectPr w:rsidR="00F54C5B" w:rsidRPr="00353D9A" w:rsidSect="00C276E2">
      <w:headerReference w:type="default" r:id="rId9"/>
      <w:headerReference w:type="firs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830" w:rsidRDefault="00106830" w:rsidP="00F2775B">
      <w:pPr>
        <w:spacing w:after="0" w:line="240" w:lineRule="auto"/>
      </w:pPr>
      <w:r>
        <w:separator/>
      </w:r>
    </w:p>
  </w:endnote>
  <w:endnote w:type="continuationSeparator" w:id="0">
    <w:p w:rsidR="00106830" w:rsidRDefault="00106830" w:rsidP="00F2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830" w:rsidRDefault="00106830" w:rsidP="00F2775B">
      <w:pPr>
        <w:spacing w:after="0" w:line="240" w:lineRule="auto"/>
      </w:pPr>
      <w:r>
        <w:separator/>
      </w:r>
    </w:p>
  </w:footnote>
  <w:footnote w:type="continuationSeparator" w:id="0">
    <w:p w:rsidR="00106830" w:rsidRDefault="00106830" w:rsidP="00F27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EA" w:rsidRPr="00F54C5B" w:rsidRDefault="00D317EA" w:rsidP="00F54C5B">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09" w:rsidRPr="00F54C5B" w:rsidRDefault="00883F09" w:rsidP="00F54C5B">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B6748"/>
    <w:multiLevelType w:val="hybridMultilevel"/>
    <w:tmpl w:val="88E0A4AC"/>
    <w:lvl w:ilvl="0" w:tplc="C950BB4A">
      <w:start w:val="1"/>
      <w:numFmt w:val="decimal"/>
      <w:lvlText w:val="%1."/>
      <w:lvlJc w:val="left"/>
      <w:pPr>
        <w:ind w:left="513" w:hanging="360"/>
      </w:pPr>
      <w:rPr>
        <w:rFonts w:cs="Times New Roman" w:hint="default"/>
        <w:color w:val="000000"/>
      </w:rPr>
    </w:lvl>
    <w:lvl w:ilvl="1" w:tplc="04190019" w:tentative="1">
      <w:start w:val="1"/>
      <w:numFmt w:val="lowerLetter"/>
      <w:lvlText w:val="%2."/>
      <w:lvlJc w:val="left"/>
      <w:pPr>
        <w:ind w:left="1233" w:hanging="360"/>
      </w:pPr>
      <w:rPr>
        <w:rFonts w:cs="Times New Roman"/>
      </w:rPr>
    </w:lvl>
    <w:lvl w:ilvl="2" w:tplc="0419001B" w:tentative="1">
      <w:start w:val="1"/>
      <w:numFmt w:val="lowerRoman"/>
      <w:lvlText w:val="%3."/>
      <w:lvlJc w:val="right"/>
      <w:pPr>
        <w:ind w:left="1953" w:hanging="180"/>
      </w:pPr>
      <w:rPr>
        <w:rFonts w:cs="Times New Roman"/>
      </w:rPr>
    </w:lvl>
    <w:lvl w:ilvl="3" w:tplc="0419000F" w:tentative="1">
      <w:start w:val="1"/>
      <w:numFmt w:val="decimal"/>
      <w:lvlText w:val="%4."/>
      <w:lvlJc w:val="left"/>
      <w:pPr>
        <w:ind w:left="2673" w:hanging="360"/>
      </w:pPr>
      <w:rPr>
        <w:rFonts w:cs="Times New Roman"/>
      </w:rPr>
    </w:lvl>
    <w:lvl w:ilvl="4" w:tplc="04190019" w:tentative="1">
      <w:start w:val="1"/>
      <w:numFmt w:val="lowerLetter"/>
      <w:lvlText w:val="%5."/>
      <w:lvlJc w:val="left"/>
      <w:pPr>
        <w:ind w:left="3393" w:hanging="360"/>
      </w:pPr>
      <w:rPr>
        <w:rFonts w:cs="Times New Roman"/>
      </w:rPr>
    </w:lvl>
    <w:lvl w:ilvl="5" w:tplc="0419001B" w:tentative="1">
      <w:start w:val="1"/>
      <w:numFmt w:val="lowerRoman"/>
      <w:lvlText w:val="%6."/>
      <w:lvlJc w:val="right"/>
      <w:pPr>
        <w:ind w:left="4113" w:hanging="180"/>
      </w:pPr>
      <w:rPr>
        <w:rFonts w:cs="Times New Roman"/>
      </w:rPr>
    </w:lvl>
    <w:lvl w:ilvl="6" w:tplc="0419000F" w:tentative="1">
      <w:start w:val="1"/>
      <w:numFmt w:val="decimal"/>
      <w:lvlText w:val="%7."/>
      <w:lvlJc w:val="left"/>
      <w:pPr>
        <w:ind w:left="4833" w:hanging="360"/>
      </w:pPr>
      <w:rPr>
        <w:rFonts w:cs="Times New Roman"/>
      </w:rPr>
    </w:lvl>
    <w:lvl w:ilvl="7" w:tplc="04190019" w:tentative="1">
      <w:start w:val="1"/>
      <w:numFmt w:val="lowerLetter"/>
      <w:lvlText w:val="%8."/>
      <w:lvlJc w:val="left"/>
      <w:pPr>
        <w:ind w:left="5553" w:hanging="360"/>
      </w:pPr>
      <w:rPr>
        <w:rFonts w:cs="Times New Roman"/>
      </w:rPr>
    </w:lvl>
    <w:lvl w:ilvl="8" w:tplc="0419001B" w:tentative="1">
      <w:start w:val="1"/>
      <w:numFmt w:val="lowerRoman"/>
      <w:lvlText w:val="%9."/>
      <w:lvlJc w:val="right"/>
      <w:pPr>
        <w:ind w:left="6273" w:hanging="180"/>
      </w:pPr>
      <w:rPr>
        <w:rFonts w:cs="Times New Roman"/>
      </w:rPr>
    </w:lvl>
  </w:abstractNum>
  <w:abstractNum w:abstractNumId="1">
    <w:nsid w:val="54034FCF"/>
    <w:multiLevelType w:val="hybridMultilevel"/>
    <w:tmpl w:val="E2CEB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54557BE8"/>
    <w:multiLevelType w:val="hybridMultilevel"/>
    <w:tmpl w:val="97C00E30"/>
    <w:lvl w:ilvl="0" w:tplc="2FECF2C4">
      <w:start w:val="1"/>
      <w:numFmt w:val="decimal"/>
      <w:lvlText w:val="%1."/>
      <w:lvlJc w:val="left"/>
      <w:pPr>
        <w:ind w:left="10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
    <w:nsid w:val="70D31186"/>
    <w:multiLevelType w:val="hybridMultilevel"/>
    <w:tmpl w:val="6F64CCB4"/>
    <w:lvl w:ilvl="0" w:tplc="2FECF2C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nsid w:val="79B743F6"/>
    <w:multiLevelType w:val="hybridMultilevel"/>
    <w:tmpl w:val="957A06F2"/>
    <w:lvl w:ilvl="0" w:tplc="2FECF2C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488"/>
    <w:rsid w:val="00005E14"/>
    <w:rsid w:val="00043643"/>
    <w:rsid w:val="00106830"/>
    <w:rsid w:val="00191788"/>
    <w:rsid w:val="001C79ED"/>
    <w:rsid w:val="00201B16"/>
    <w:rsid w:val="00353D9A"/>
    <w:rsid w:val="004456BB"/>
    <w:rsid w:val="00544A5B"/>
    <w:rsid w:val="0065443A"/>
    <w:rsid w:val="0069325C"/>
    <w:rsid w:val="00774BDF"/>
    <w:rsid w:val="007A4DB8"/>
    <w:rsid w:val="00883F09"/>
    <w:rsid w:val="008A2B70"/>
    <w:rsid w:val="00A4068B"/>
    <w:rsid w:val="00B709AB"/>
    <w:rsid w:val="00BA29C9"/>
    <w:rsid w:val="00BA4DF0"/>
    <w:rsid w:val="00BE249F"/>
    <w:rsid w:val="00C276E2"/>
    <w:rsid w:val="00C30C7F"/>
    <w:rsid w:val="00D317EA"/>
    <w:rsid w:val="00D44488"/>
    <w:rsid w:val="00DE5403"/>
    <w:rsid w:val="00E13A0E"/>
    <w:rsid w:val="00E81508"/>
    <w:rsid w:val="00F2775B"/>
    <w:rsid w:val="00F30C5A"/>
    <w:rsid w:val="00F4562E"/>
    <w:rsid w:val="00F54C5B"/>
    <w:rsid w:val="00FB2B1C"/>
    <w:rsid w:val="00FE0261"/>
    <w:rsid w:val="00FF0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BE8AEB5-31AA-48CF-9344-A14B935B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788"/>
    <w:pPr>
      <w:spacing w:after="200" w:line="276" w:lineRule="auto"/>
    </w:pPr>
    <w:rPr>
      <w:rFonts w:ascii="Times New Roman" w:hAnsi="Times New Roman" w:cs="Times New Roman"/>
      <w:sz w:val="28"/>
      <w:szCs w:val="22"/>
      <w:lang w:eastAsia="en-US"/>
    </w:rPr>
  </w:style>
  <w:style w:type="paragraph" w:styleId="1">
    <w:name w:val="heading 1"/>
    <w:basedOn w:val="a"/>
    <w:next w:val="a"/>
    <w:link w:val="10"/>
    <w:uiPriority w:val="99"/>
    <w:qFormat/>
    <w:rsid w:val="00F2775B"/>
    <w:pPr>
      <w:widowControl w:val="0"/>
      <w:autoSpaceDE w:val="0"/>
      <w:autoSpaceDN w:val="0"/>
      <w:adjustRightInd w:val="0"/>
      <w:spacing w:before="108" w:after="108" w:line="240" w:lineRule="auto"/>
      <w:jc w:val="center"/>
      <w:outlineLvl w:val="0"/>
    </w:pPr>
    <w:rPr>
      <w:rFonts w:ascii="Arial" w:hAnsi="Arial"/>
      <w:b/>
      <w:bCs/>
      <w:color w:val="000080"/>
      <w:sz w:val="24"/>
      <w:szCs w:val="24"/>
      <w:lang w:eastAsia="zh-CN"/>
    </w:rPr>
  </w:style>
  <w:style w:type="paragraph" w:styleId="2">
    <w:name w:val="heading 2"/>
    <w:basedOn w:val="a"/>
    <w:next w:val="a"/>
    <w:link w:val="20"/>
    <w:uiPriority w:val="9"/>
    <w:unhideWhenUsed/>
    <w:qFormat/>
    <w:rsid w:val="00191788"/>
    <w:pPr>
      <w:keepNext/>
      <w:keepLines/>
      <w:spacing w:before="200" w:after="0"/>
      <w:outlineLvl w:val="1"/>
    </w:pPr>
    <w:rPr>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775B"/>
    <w:rPr>
      <w:rFonts w:ascii="Arial" w:hAnsi="Arial" w:cs="Times New Roman"/>
      <w:b/>
      <w:bCs/>
      <w:color w:val="000080"/>
      <w:sz w:val="24"/>
      <w:szCs w:val="24"/>
      <w:lang w:val="x-none" w:eastAsia="zh-CN"/>
    </w:rPr>
  </w:style>
  <w:style w:type="character" w:customStyle="1" w:styleId="20">
    <w:name w:val="Заголовок 2 Знак"/>
    <w:link w:val="2"/>
    <w:uiPriority w:val="9"/>
    <w:locked/>
    <w:rsid w:val="00191788"/>
    <w:rPr>
      <w:rFonts w:ascii="Times New Roman" w:eastAsia="Times New Roman" w:hAnsi="Times New Roman" w:cs="Times New Roman"/>
      <w:b/>
      <w:bCs/>
      <w:sz w:val="26"/>
      <w:szCs w:val="26"/>
    </w:rPr>
  </w:style>
  <w:style w:type="paragraph" w:styleId="a3">
    <w:name w:val="footnote text"/>
    <w:basedOn w:val="a"/>
    <w:link w:val="a4"/>
    <w:uiPriority w:val="99"/>
    <w:rsid w:val="00F2775B"/>
    <w:pPr>
      <w:widowControl w:val="0"/>
      <w:autoSpaceDE w:val="0"/>
      <w:autoSpaceDN w:val="0"/>
      <w:adjustRightInd w:val="0"/>
      <w:spacing w:after="0" w:line="240" w:lineRule="auto"/>
    </w:pPr>
    <w:rPr>
      <w:sz w:val="20"/>
      <w:szCs w:val="20"/>
      <w:lang w:eastAsia="zh-CN"/>
    </w:rPr>
  </w:style>
  <w:style w:type="character" w:customStyle="1" w:styleId="a4">
    <w:name w:val="Текст сноски Знак"/>
    <w:link w:val="a3"/>
    <w:uiPriority w:val="99"/>
    <w:locked/>
    <w:rsid w:val="00F2775B"/>
    <w:rPr>
      <w:rFonts w:ascii="Times New Roman" w:hAnsi="Times New Roman" w:cs="Times New Roman"/>
      <w:sz w:val="20"/>
      <w:szCs w:val="20"/>
      <w:lang w:val="x-none" w:eastAsia="zh-CN"/>
    </w:rPr>
  </w:style>
  <w:style w:type="character" w:styleId="a5">
    <w:name w:val="footnote reference"/>
    <w:uiPriority w:val="99"/>
    <w:semiHidden/>
    <w:unhideWhenUsed/>
    <w:rsid w:val="00F2775B"/>
    <w:rPr>
      <w:rFonts w:cs="Times New Roman"/>
      <w:vertAlign w:val="superscript"/>
    </w:rPr>
  </w:style>
  <w:style w:type="paragraph" w:customStyle="1" w:styleId="ConsPlusNormal">
    <w:name w:val="ConsPlusNormal"/>
    <w:rsid w:val="00BA29C9"/>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E8150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91788"/>
    <w:pPr>
      <w:widowControl w:val="0"/>
      <w:autoSpaceDE w:val="0"/>
      <w:autoSpaceDN w:val="0"/>
      <w:adjustRightInd w:val="0"/>
    </w:pPr>
    <w:rPr>
      <w:rFonts w:ascii="Arial" w:hAnsi="Arial" w:cs="Arial"/>
      <w:b/>
      <w:bCs/>
    </w:rPr>
  </w:style>
  <w:style w:type="paragraph" w:styleId="a6">
    <w:name w:val="List Paragraph"/>
    <w:basedOn w:val="a"/>
    <w:uiPriority w:val="34"/>
    <w:qFormat/>
    <w:rsid w:val="0069325C"/>
    <w:pPr>
      <w:ind w:left="720"/>
      <w:contextualSpacing/>
    </w:pPr>
  </w:style>
  <w:style w:type="paragraph" w:styleId="a7">
    <w:name w:val="TOC Heading"/>
    <w:basedOn w:val="1"/>
    <w:next w:val="a"/>
    <w:uiPriority w:val="39"/>
    <w:semiHidden/>
    <w:unhideWhenUsed/>
    <w:qFormat/>
    <w:rsid w:val="00D317E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21">
    <w:name w:val="toc 2"/>
    <w:basedOn w:val="a"/>
    <w:next w:val="a"/>
    <w:autoRedefine/>
    <w:uiPriority w:val="39"/>
    <w:unhideWhenUsed/>
    <w:rsid w:val="00D317EA"/>
    <w:pPr>
      <w:spacing w:after="100"/>
      <w:ind w:left="280"/>
    </w:pPr>
  </w:style>
  <w:style w:type="character" w:styleId="a8">
    <w:name w:val="Hyperlink"/>
    <w:uiPriority w:val="99"/>
    <w:unhideWhenUsed/>
    <w:rsid w:val="00D317EA"/>
    <w:rPr>
      <w:rFonts w:cs="Times New Roman"/>
      <w:color w:val="0000FF"/>
      <w:u w:val="single"/>
    </w:rPr>
  </w:style>
  <w:style w:type="paragraph" w:styleId="a9">
    <w:name w:val="Balloon Text"/>
    <w:basedOn w:val="a"/>
    <w:link w:val="aa"/>
    <w:uiPriority w:val="99"/>
    <w:semiHidden/>
    <w:unhideWhenUsed/>
    <w:rsid w:val="00D317E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D317EA"/>
    <w:rPr>
      <w:rFonts w:ascii="Tahoma" w:hAnsi="Tahoma" w:cs="Tahoma"/>
      <w:sz w:val="16"/>
      <w:szCs w:val="16"/>
    </w:rPr>
  </w:style>
  <w:style w:type="paragraph" w:styleId="ab">
    <w:name w:val="header"/>
    <w:basedOn w:val="a"/>
    <w:link w:val="ac"/>
    <w:uiPriority w:val="99"/>
    <w:unhideWhenUsed/>
    <w:rsid w:val="00D317EA"/>
    <w:pPr>
      <w:tabs>
        <w:tab w:val="center" w:pos="4677"/>
        <w:tab w:val="right" w:pos="9355"/>
      </w:tabs>
      <w:spacing w:after="0" w:line="240" w:lineRule="auto"/>
    </w:pPr>
  </w:style>
  <w:style w:type="character" w:customStyle="1" w:styleId="ac">
    <w:name w:val="Верхний колонтитул Знак"/>
    <w:link w:val="ab"/>
    <w:uiPriority w:val="99"/>
    <w:locked/>
    <w:rsid w:val="00D317EA"/>
    <w:rPr>
      <w:rFonts w:ascii="Times New Roman" w:hAnsi="Times New Roman" w:cs="Times New Roman"/>
      <w:sz w:val="28"/>
    </w:rPr>
  </w:style>
  <w:style w:type="paragraph" w:styleId="ad">
    <w:name w:val="footer"/>
    <w:basedOn w:val="a"/>
    <w:link w:val="ae"/>
    <w:uiPriority w:val="99"/>
    <w:semiHidden/>
    <w:unhideWhenUsed/>
    <w:rsid w:val="00D317EA"/>
    <w:pPr>
      <w:tabs>
        <w:tab w:val="center" w:pos="4677"/>
        <w:tab w:val="right" w:pos="9355"/>
      </w:tabs>
      <w:spacing w:after="0" w:line="240" w:lineRule="auto"/>
    </w:pPr>
  </w:style>
  <w:style w:type="character" w:customStyle="1" w:styleId="ae">
    <w:name w:val="Нижний колонтитул Знак"/>
    <w:link w:val="ad"/>
    <w:uiPriority w:val="99"/>
    <w:semiHidden/>
    <w:locked/>
    <w:rsid w:val="00D317EA"/>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070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0337-2925-4AA8-8F4D-4826AD06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2828</Words>
  <Characters>16122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admin</cp:lastModifiedBy>
  <cp:revision>2</cp:revision>
  <dcterms:created xsi:type="dcterms:W3CDTF">2014-03-23T22:06:00Z</dcterms:created>
  <dcterms:modified xsi:type="dcterms:W3CDTF">2014-03-23T22:06:00Z</dcterms:modified>
</cp:coreProperties>
</file>