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B8" w:rsidRPr="00833EC0" w:rsidRDefault="007C63B8" w:rsidP="00833EC0">
      <w:pPr>
        <w:pStyle w:val="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ПЛАН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Формы организации внешнеэкономической службы на уровне предприятия</w:t>
      </w:r>
    </w:p>
    <w:p w:rsidR="007C63B8" w:rsidRPr="00833EC0" w:rsidRDefault="007C63B8" w:rsidP="00833EC0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Работа предприятия по выходу на внешний рынок</w:t>
      </w:r>
    </w:p>
    <w:p w:rsidR="007C63B8" w:rsidRPr="00833EC0" w:rsidRDefault="007C63B8" w:rsidP="00833EC0">
      <w:pPr>
        <w:numPr>
          <w:ilvl w:val="0"/>
          <w:numId w:val="1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Эффективность внешнеторговой деятельности предприятия</w:t>
      </w:r>
    </w:p>
    <w:p w:rsidR="007C63B8" w:rsidRPr="00833EC0" w:rsidRDefault="00833EC0" w:rsidP="00833EC0">
      <w:pPr>
        <w:spacing w:line="360" w:lineRule="auto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 xml:space="preserve">4. </w:t>
      </w:r>
      <w:r w:rsidR="007C63B8" w:rsidRPr="00833EC0">
        <w:rPr>
          <w:color w:val="000000"/>
          <w:sz w:val="28"/>
          <w:szCs w:val="28"/>
        </w:rPr>
        <w:t>Задача</w:t>
      </w:r>
    </w:p>
    <w:p w:rsidR="007C63B8" w:rsidRPr="00833EC0" w:rsidRDefault="007C63B8" w:rsidP="00833EC0">
      <w:pPr>
        <w:spacing w:line="360" w:lineRule="auto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Список использованной литературы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833EC0" w:rsidP="00833EC0">
      <w:pPr>
        <w:pStyle w:val="a6"/>
        <w:numPr>
          <w:ilvl w:val="0"/>
          <w:numId w:val="2"/>
        </w:numPr>
        <w:spacing w:line="360" w:lineRule="auto"/>
        <w:ind w:left="0" w:firstLine="709"/>
        <w:rPr>
          <w:color w:val="000000"/>
        </w:rPr>
      </w:pPr>
      <w:r>
        <w:rPr>
          <w:b w:val="0"/>
          <w:bCs w:val="0"/>
          <w:color w:val="000000"/>
        </w:rPr>
        <w:br w:type="page"/>
      </w:r>
      <w:r w:rsidR="007C63B8" w:rsidRPr="00833EC0">
        <w:rPr>
          <w:color w:val="000000"/>
        </w:rPr>
        <w:lastRenderedPageBreak/>
        <w:t>Формы организации внешнеэкономической службы на уровне предприятия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Внешнеэкономическая деятельность предприятий - это сфера хозяйственной деятельности, связанная с международной производственной и научно-технической кооперацией, экспортом и импортом продукции, выходом предприятия на внешний рынок.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В современных условиях демонополизации внешнеэкономической деятельности предприятие – основное звено внешнеэкономического комплекса страны.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В соответствии с принятыми законами "Об основах государственного регулирования внешнеторговой деятельности", "О специальных защитных, антидемпинговых и компенсационных мерах при импорте товаров", "О мерах по защите экономических интересов Российской Федерации при осуществлении внешней торговли товарами"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предприятия самостоятельно осуществляют свою деятельность, в том числе внешнеэкономическую, формируют производственную программу, выбирают поставщиков и потребителей своей продукции, устанавливают на нее цены в пределах, определенных законодательством и договорами.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Внешнеэкономическую деятельность вправе осуществлять объединения, предприятия и организации промышленности, сельского хозяйства, перерабатывающих отраслей агропромышленного комплекса, транспорта, связи, строительства, учебные учреждения, туристическо-экскурсионные организации, коммерческие структуры, торгово-посреднические организации и т.д.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Наибольший опыт управления внешнеэкономической деятельностью накоплен в специализированных внешнеторговых организациях (ВТО).</w:t>
      </w:r>
    </w:p>
    <w:p w:rsid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 xml:space="preserve">Ведущей структурной единицей ВТО является фирма, работа которой специализируется на торговле определенными товарами либо с группой </w:t>
      </w:r>
      <w:r w:rsidRPr="00833EC0">
        <w:rPr>
          <w:color w:val="000000"/>
        </w:rPr>
        <w:lastRenderedPageBreak/>
        <w:t>стран. Возглавляет фирму директор, который в зависимости от объема работы имеет несколько его заместителей.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Функциональные отделы и службы, содействующие работе специализированных фирм и ВТО, можно условно разделить на три группы:</w:t>
      </w:r>
    </w:p>
    <w:p w:rsidR="007C63B8" w:rsidRPr="00833EC0" w:rsidRDefault="007C63B8" w:rsidP="00833EC0">
      <w:pPr>
        <w:pStyle w:val="21"/>
        <w:numPr>
          <w:ilvl w:val="0"/>
          <w:numId w:val="3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Группа отделов и служб, осуществляющих планирование: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планово-экономический отдел – планирование внешнеторговой деятельности и контроль выполнения плана, анализ хозяйственной деятельности ВТО;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валютно-финансовый отдел;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транспортный отдел;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бухгалтерия ВТО.</w:t>
      </w:r>
    </w:p>
    <w:p w:rsidR="007C63B8" w:rsidRPr="00833EC0" w:rsidRDefault="007C63B8" w:rsidP="00833EC0">
      <w:pPr>
        <w:pStyle w:val="21"/>
        <w:numPr>
          <w:ilvl w:val="0"/>
          <w:numId w:val="3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Группа отделов, занимающихся непосредственно маркетингом: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отдел конъюнктуры и цен;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отдел рекламы и выставок;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инженерно-технический отдел;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отдел совместных предприятий – координация, планирование и контроль деятельности совместных предприятий, созданных с участием иностранного капитала на территории России, и смешанных обществ, созданных с участием объединения за рубежом;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отдел технического обслуживания и запчастей.</w:t>
      </w:r>
    </w:p>
    <w:p w:rsidR="007C63B8" w:rsidRPr="00833EC0" w:rsidRDefault="007C63B8" w:rsidP="00833EC0">
      <w:pPr>
        <w:pStyle w:val="21"/>
        <w:numPr>
          <w:ilvl w:val="0"/>
          <w:numId w:val="3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Группа отделов, обеспечивающих принятие и исполнение управленческих решений: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отдел развития – совершенствование организационной структуры объединения;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отдел АСУ (ВЦ);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отдел кадров;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отдел загранкомандировок;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административно-хозяйственный отдел – снабжение необходимыми для работы объединения материалами и оборудованием, ответственность за эксплуатацию здания, другая хозяйственная работа;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lastRenderedPageBreak/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юридический отдел;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протокольный отдел – выполнение поручений руководства ВТО и фирм по встречам, приему и проводам представителей иностранных фирм, прибывших с деловыми целями.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Иногда юридический и протокольный отделы, а также бухгалтерия и отдел кадров подчиняются непосредственно генеральному директору ВТО, выполняя те же функции.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Создание такой разветвленной структуры управления ВЭД характерно для предприятий независимо от их организационно-правовой формы, когда их деятельность целиком и полностью сосредоточена на внешних рынках.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На предприятиях за последние десять лет накоплен значительный опыт осуществления внешнеэкономической деятельности. В качестве примера проанализируем организацию внешнеэкономической деятельности на предприятии.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ОАО Первоуральский новотрубный завод (ПНТЗ) является крупнейшим в Европе и России производителем бесшовных труб и баллонов. Он производит свыше 25000 типоразмеров труб и трубных профилей из более чем 240 марок углеродистых, легированных и нержавеющих сталей по 34 государственным и 25 иностранным стандартам, а также по 400 техническим условиям. На его долю приходится около 16% общего объема труб, выпускаемых российскими предприятиями. Имеются многочисленные европейские и американские сертификаты, подтверждающие соответствие качества мировым требованиям.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Продукция предприятия поставляется примерно в 25 зарубежных стран. Внешнеэкономическая деятельность ПНТЗ, особенно та ее часть, которая связана с экспортом, представляет собой одно из важнейших направлений развития и, самое главное, выживания завода в современных условиях, поскольку является на сегодняшний день единственным источником получения «живых» денег для выплаты налогов и заработной платы.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lastRenderedPageBreak/>
        <w:t>Отдел по внешним экономическим связям (ОВЭС) был создан в сентябре 1991 г. с целью осуществления внешнеэкономической деятельности, включая создание совместных производств с зарубежными фирмами. В настоящее время основными задачами отдела являются: поиски рынков сбыта для продукции ОАО за свободно конвертируемую валюту; организация загрузки производства экспортными заказами; поиски предложений иностранных инвесторов; подготовка, оформление и организация выполнения контрактов на поставки экспортной продукции.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В соответствии с возложенными на него задачами отдел выполняет следующие функции: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проведение маркетинговых исследований рынков сбыта продукции ОАО;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организация договорных отношений с экспортирующими организациями;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работа с организациями-посредниками;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участие в переговорах, разработка и оформление контрактов на поставку продукции за валюту в дальнее зарубежье;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организация обеспечения производства экспортными заказами совместно с другими службами ОАО;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осуществление лицензирования и декларирования грузов;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совместно со службами ОАО осуществление контроля за ходом выполнения экспортных заказов, соблюдением сроков отгрузки согласно заключенным контрактам;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контроль за своевременной оплатой счетов и поступлением валюты на счета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участие в планировании ВЭД;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организация рекламы.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 xml:space="preserve">В состав ОВЭС входят следующие специалисты: начальник отдела; заместитель начальника отдела; ведущий экономист по внешнеэкономическим связям; переводчики; экономисты по </w:t>
      </w:r>
      <w:r w:rsidRPr="00833EC0">
        <w:rPr>
          <w:color w:val="000000"/>
        </w:rPr>
        <w:lastRenderedPageBreak/>
        <w:t>внешнеэкономическим связям; экономисты по сбыту; специалисты по таможенному оформлению.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Отдел по ВЭС является самостоятельным структурным подразделением и подчиняется помощнику генерального директора по внешним экономическим связям, который назначается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на должность и освобождается от нее генеральным директором. Цель деятельности помощника генерального директора по ВЭС – обеспечение экспертизы экономической эффективности заключения внешнеторговых сделок ОАО и принятие решений о целесообразности подписания контрактов с иностранными фирмами.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 xml:space="preserve">Как было отмечено, одной из задач отдела ВЭС является оформление и организация выполнения </w:t>
      </w:r>
      <w:r w:rsidR="00192BEA">
        <w:rPr>
          <w:color w:val="000000"/>
        </w:rPr>
        <w:t>внешнеэкономических контрактов.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Импорт занимает незначительную долю во внешнеторговом обороте ПНТЗ и представляет собой покупку запасных частей к установленному на заводе импортному оборудованию. На рисунке 1.2 представлена схема заключения и реализации импортного контракта.</w:t>
      </w:r>
    </w:p>
    <w:p w:rsidR="00192BEA" w:rsidRDefault="00192BEA" w:rsidP="00192BEA">
      <w:pPr>
        <w:pStyle w:val="21"/>
      </w:pPr>
      <w:r>
        <w:rPr>
          <w:color w:val="000000"/>
        </w:rPr>
        <w:br w:type="page"/>
      </w:r>
      <w:r w:rsidR="003E6B33">
        <w:rPr>
          <w:noProof/>
        </w:rPr>
        <w:lastRenderedPageBreak/>
        <w:pict>
          <v:group id="_x0000_s1026" style="position:absolute;left:0;text-align:left;margin-left:0;margin-top:9.5pt;width:450pt;height:468pt;z-index:251658752" coordorigin="1701,2934" coordsize="9000,9360">
            <v:rect id="_x0000_s1027" style="position:absolute;left:4761;top:2934;width:1620;height:540">
              <v:textbox>
                <w:txbxContent>
                  <w:p w:rsidR="00192BEA" w:rsidRDefault="00192BEA" w:rsidP="00192BE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Цех</w:t>
                    </w:r>
                  </w:p>
                </w:txbxContent>
              </v:textbox>
            </v:rect>
            <v:rect id="_x0000_s1028" style="position:absolute;left:4221;top:3654;width:3240;height:540">
              <v:textbox style="mso-next-textbox:#_x0000_s1028">
                <w:txbxContent>
                  <w:p w:rsidR="00192BEA" w:rsidRDefault="00192BEA" w:rsidP="00192BEA">
                    <w:pPr>
                      <w:jc w:val="center"/>
                    </w:pPr>
                    <w:r>
                      <w:t>Генеральный директор</w:t>
                    </w:r>
                  </w:p>
                </w:txbxContent>
              </v:textbox>
            </v:rect>
            <v:rect id="_x0000_s1029" style="position:absolute;left:4761;top:4462;width:1800;height:540">
              <v:textbox>
                <w:txbxContent>
                  <w:p w:rsidR="00192BEA" w:rsidRDefault="00192BEA" w:rsidP="00192BEA">
                    <w:pPr>
                      <w:jc w:val="center"/>
                    </w:pPr>
                    <w:r>
                      <w:t>ОВЭС</w:t>
                    </w:r>
                  </w:p>
                </w:txbxContent>
              </v:textbox>
            </v:rect>
            <v:rect id="_x0000_s1030" style="position:absolute;left:1701;top:5634;width:2160;height:540">
              <v:textbox>
                <w:txbxContent>
                  <w:p w:rsidR="00192BEA" w:rsidRDefault="00192BEA" w:rsidP="00192BEA">
                    <w:pPr>
                      <w:jc w:val="center"/>
                    </w:pPr>
                    <w:r>
                      <w:t>Инофирма</w:t>
                    </w:r>
                  </w:p>
                </w:txbxContent>
              </v:textbox>
            </v:rect>
            <v:rect id="_x0000_s1031" style="position:absolute;left:4761;top:6906;width:1980;height:540">
              <v:textbox>
                <w:txbxContent>
                  <w:p w:rsidR="00192BEA" w:rsidRDefault="00192BEA" w:rsidP="00192BEA">
                    <w:pPr>
                      <w:jc w:val="center"/>
                    </w:pPr>
                    <w:r>
                      <w:t>ОВЭС</w:t>
                    </w:r>
                  </w:p>
                </w:txbxContent>
              </v:textbox>
            </v:rect>
            <v:rect id="_x0000_s1032" style="position:absolute;left:8181;top:6906;width:2520;height:720">
              <v:textbox>
                <w:txbxContent>
                  <w:p w:rsidR="00192BEA" w:rsidRDefault="00192BEA" w:rsidP="00192BEA">
                    <w:pPr>
                      <w:jc w:val="center"/>
                    </w:pPr>
                    <w:r>
                      <w:t>«Трубоимпэкс»,</w:t>
                    </w:r>
                  </w:p>
                  <w:p w:rsidR="00192BEA" w:rsidRDefault="00192BEA" w:rsidP="00192BEA">
                    <w:pPr>
                      <w:jc w:val="center"/>
                    </w:pPr>
                    <w:r>
                      <w:t>г.Кельн</w:t>
                    </w:r>
                  </w:p>
                  <w:p w:rsidR="00192BEA" w:rsidRDefault="00192BEA" w:rsidP="00192BEA"/>
                </w:txbxContent>
              </v:textbox>
            </v:rect>
            <v:rect id="_x0000_s1033" style="position:absolute;left:4761;top:8346;width:1980;height:540">
              <v:textbox>
                <w:txbxContent>
                  <w:p w:rsidR="00192BEA" w:rsidRDefault="00192BEA" w:rsidP="00192BEA">
                    <w:pPr>
                      <w:jc w:val="center"/>
                    </w:pPr>
                    <w:r>
                      <w:t>Кельн</w:t>
                    </w:r>
                  </w:p>
                </w:txbxContent>
              </v:textbox>
            </v:rect>
            <v:rect id="_x0000_s1034" style="position:absolute;left:4761;top:9426;width:2160;height:540">
              <v:textbox>
                <w:txbxContent>
                  <w:p w:rsidR="00192BEA" w:rsidRDefault="00192BEA" w:rsidP="00192BEA">
                    <w:pPr>
                      <w:jc w:val="center"/>
                    </w:pPr>
                    <w:r>
                      <w:t>Инофирма</w:t>
                    </w:r>
                  </w:p>
                </w:txbxContent>
              </v:textbox>
            </v:rect>
            <v:rect id="_x0000_s1035" style="position:absolute;left:1701;top:9966;width:2160;height:720">
              <v:textbox>
                <w:txbxContent>
                  <w:p w:rsidR="00192BEA" w:rsidRDefault="00192BEA" w:rsidP="00192BEA">
                    <w:pPr>
                      <w:pStyle w:val="a8"/>
                    </w:pPr>
                    <w:r>
                      <w:t>Таможенный склад</w:t>
                    </w:r>
                  </w:p>
                </w:txbxContent>
              </v:textbox>
            </v:rect>
            <v:rect id="_x0000_s1036" style="position:absolute;left:4761;top:10866;width:2340;height:540">
              <v:textbox>
                <w:txbxContent>
                  <w:p w:rsidR="00192BEA" w:rsidRDefault="00192BEA" w:rsidP="00192BEA">
                    <w:pPr>
                      <w:jc w:val="center"/>
                    </w:pPr>
                    <w:r>
                      <w:t>Завод</w:t>
                    </w:r>
                  </w:p>
                </w:txbxContent>
              </v:textbox>
            </v:rect>
            <v:line id="_x0000_s1037" style="position:absolute" from="6381,3114" to="8541,3114">
              <v:stroke endarrow="block"/>
            </v:line>
            <v:line id="_x0000_s1038" style="position:absolute;flip:x" from="2781,4014" to="4221,4014">
              <v:stroke endarrow="block"/>
            </v:line>
            <v:line id="_x0000_s1039" style="position:absolute" from="9441,3294" to="9441,3834"/>
            <v:line id="_x0000_s1040" style="position:absolute;flip:x" from="7461,3834" to="9441,3834">
              <v:stroke endarrow="block"/>
            </v:line>
            <v:line id="_x0000_s1041" style="position:absolute" from="2061,4194" to="2061,4734"/>
            <v:line id="_x0000_s1042" style="position:absolute" from="2061,4734" to="4761,4734">
              <v:stroke endarrow="block"/>
            </v:line>
            <v:line id="_x0000_s1043" style="position:absolute" from="5661,5094" to="5661,5274"/>
            <v:line id="_x0000_s1044" style="position:absolute" from="5661,5274" to="9441,5274"/>
            <v:line id="_x0000_s1045" style="position:absolute" from="9441,5274" to="9441,5634">
              <v:stroke endarrow="block"/>
            </v:line>
            <v:line id="_x0000_s1046" style="position:absolute;flip:x" from="2961,5274" to="5661,5274"/>
            <v:line id="_x0000_s1047" style="position:absolute" from="2961,5274" to="2961,5634">
              <v:stroke endarrow="block"/>
            </v:line>
            <v:line id="_x0000_s1048" style="position:absolute" from="2961,6354" to="9441,6354">
              <v:stroke endarrow="block"/>
            </v:line>
            <v:line id="_x0000_s1049" style="position:absolute;flip:x" from="5661,6534" to="9441,6534"/>
            <v:line id="_x0000_s1050" style="position:absolute" from="5661,6534" to="5661,6894">
              <v:stroke endarrow="block"/>
            </v:line>
            <v:line id="_x0000_s1051" style="position:absolute" from="5661,7434" to="5661,8334">
              <v:stroke endarrow="block"/>
            </v:line>
            <v:line id="_x0000_s1052" style="position:absolute" from="5661,8874" to="5661,9414">
              <v:stroke endarrow="block"/>
            </v:line>
            <v:line id="_x0000_s1053" style="position:absolute" from="5661,9954" to="5661,10854">
              <v:stroke endarrow="block"/>
            </v:line>
            <v:line id="_x0000_s1054" style="position:absolute" from="5661,11394" to="5661,11934">
              <v:stroke endarrow="block"/>
            </v:line>
            <v:line id="_x0000_s1055" style="position:absolute" from="2601,10674" to="2601,11214"/>
            <v:line id="_x0000_s1056" style="position:absolute" from="2601,11214" to="4761,11214"/>
            <v:line id="_x0000_s1057" style="position:absolute" from="2601,11934" to="9261,11934"/>
            <v:line id="_x0000_s1058" style="position:absolute" from="9261,11934" to="9261,12114"/>
            <v:line id="_x0000_s1059" style="position:absolute" from="2601,11934" to="2601,12114"/>
            <v:line id="_x0000_s1060" style="position:absolute" from="5661,11934" to="5661,12294"/>
          </v:group>
        </w:pict>
      </w:r>
    </w:p>
    <w:p w:rsidR="00192BEA" w:rsidRDefault="00192BEA" w:rsidP="00192BEA">
      <w:r>
        <w:t xml:space="preserve">                                                                                                                    Служебная записка</w:t>
      </w:r>
    </w:p>
    <w:p w:rsidR="00192BEA" w:rsidRDefault="00192BEA" w:rsidP="00192BEA"/>
    <w:p w:rsidR="00192BEA" w:rsidRDefault="00192BEA" w:rsidP="00192BEA">
      <w:r>
        <w:t>Виза</w:t>
      </w:r>
    </w:p>
    <w:p w:rsidR="00192BEA" w:rsidRDefault="00192BEA" w:rsidP="00192BEA">
      <w:r>
        <w:t>резолюция</w:t>
      </w:r>
    </w:p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>
      <w:r>
        <w:t xml:space="preserve">                                                                                                         Запрос</w:t>
      </w:r>
    </w:p>
    <w:p w:rsidR="00192BEA" w:rsidRDefault="00192BEA" w:rsidP="00192BEA"/>
    <w:p w:rsidR="00192BEA" w:rsidRDefault="00192BEA" w:rsidP="00192BEA"/>
    <w:p w:rsidR="00192BEA" w:rsidRDefault="00192BEA" w:rsidP="00192BEA"/>
    <w:p w:rsidR="00192BEA" w:rsidRDefault="003E6B33" w:rsidP="00192BEA">
      <w:r>
        <w:rPr>
          <w:noProof/>
        </w:rPr>
        <w:pict>
          <v:line id="_x0000_s1061" style="position:absolute;flip:y;z-index:251657728" from="63pt,3.6pt" to="63pt,12.6pt">
            <v:stroke endarrow="block"/>
          </v:line>
        </w:pict>
      </w:r>
      <w:r>
        <w:rPr>
          <w:noProof/>
        </w:rPr>
        <w:pict>
          <v:line id="_x0000_s1062" style="position:absolute;flip:y;z-index:251656704" from="387pt,3.6pt" to="387pt,21.6pt"/>
        </w:pict>
      </w:r>
    </w:p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>
      <w:r>
        <w:t xml:space="preserve">                                                                            Контракт</w:t>
      </w:r>
    </w:p>
    <w:p w:rsidR="00192BEA" w:rsidRDefault="00192BEA" w:rsidP="00192BEA">
      <w:pPr>
        <w:pStyle w:val="a3"/>
        <w:tabs>
          <w:tab w:val="clear" w:pos="4677"/>
          <w:tab w:val="clear" w:pos="9355"/>
        </w:tabs>
      </w:pPr>
    </w:p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>
      <w:r>
        <w:t xml:space="preserve">                                                                               Поставка</w:t>
      </w:r>
    </w:p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/>
    <w:p w:rsidR="00192BEA" w:rsidRDefault="00192BEA" w:rsidP="00192BEA">
      <w:r>
        <w:t xml:space="preserve"> </w:t>
      </w:r>
    </w:p>
    <w:p w:rsidR="00192BEA" w:rsidRDefault="00192BEA" w:rsidP="00192BEA">
      <w:pPr>
        <w:pStyle w:val="a3"/>
        <w:tabs>
          <w:tab w:val="clear" w:pos="4677"/>
          <w:tab w:val="clear" w:pos="9355"/>
        </w:tabs>
      </w:pPr>
      <w:r>
        <w:t xml:space="preserve">            Оплата                                                                                           Таможенное</w:t>
      </w:r>
    </w:p>
    <w:p w:rsidR="00192BEA" w:rsidRDefault="00192BEA" w:rsidP="00192BEA">
      <w:r>
        <w:t xml:space="preserve">таможенных платежей                  Оформление ГТД                      оформление (до 10 дней)        </w:t>
      </w:r>
    </w:p>
    <w:p w:rsidR="00192BEA" w:rsidRDefault="00192BEA" w:rsidP="00192BEA"/>
    <w:p w:rsidR="00192BEA" w:rsidRDefault="00192BEA" w:rsidP="00192BEA">
      <w:pPr>
        <w:pStyle w:val="2"/>
      </w:pPr>
      <w:r>
        <w:t>Рис. 1.2. Схема заключения и реализации импортного контракта</w:t>
      </w:r>
    </w:p>
    <w:p w:rsidR="00192BEA" w:rsidRDefault="00192BEA" w:rsidP="00192BEA">
      <w:pPr>
        <w:jc w:val="center"/>
        <w:rPr>
          <w:sz w:val="28"/>
          <w:szCs w:val="28"/>
        </w:rPr>
      </w:pPr>
    </w:p>
    <w:p w:rsidR="00192BEA" w:rsidRPr="00833EC0" w:rsidRDefault="00192BEA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192BEA" w:rsidRDefault="007C63B8" w:rsidP="00192BEA">
      <w:pPr>
        <w:numPr>
          <w:ilvl w:val="0"/>
          <w:numId w:val="2"/>
        </w:numPr>
        <w:spacing w:line="360" w:lineRule="auto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192BEA">
        <w:rPr>
          <w:b/>
          <w:bCs/>
          <w:color w:val="000000"/>
          <w:sz w:val="28"/>
          <w:szCs w:val="28"/>
        </w:rPr>
        <w:t>Работа предприятия по выходу на внешний рынок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 xml:space="preserve">Важной чертой современного мирового хозяйства является деятельность его субъектов в условиях жёсткой конкуренции, обусловленной, в первую очередь, непрекращающейся борьбой за рынки сбыта. Поэтому для любой фирмы, желающей включиться в международные </w:t>
      </w:r>
      <w:r w:rsidRPr="00833EC0">
        <w:rPr>
          <w:color w:val="000000"/>
        </w:rPr>
        <w:lastRenderedPageBreak/>
        <w:t>экономические отношения, первостепенной задачей становится обеспечение успешного выхода на внешний рынок, как правило, уже заполнений предлагаемыми товарами и услугами. В этой связи для фирмы становится необходимым обращение к методам международного маркетинга. И поскольку маркетинг ставит в центр внимания потребителя, вся работа предприятия, использующего принципы и методы маркетинга, направлена на подчинение производства интересам потребителя.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Исследование рынка служит основой маркетинга и предполагает анализ всех условий, имеющих значение для успешной реализации товара. Программа комплексного исследования зависит от особенностей товара, характера деятельности предприятия, масштабов производства экспортных товаров и других факторов.</w:t>
      </w:r>
    </w:p>
    <w:p w:rsidR="007C63B8" w:rsidRPr="00833EC0" w:rsidRDefault="007C63B8" w:rsidP="00833EC0">
      <w:pPr>
        <w:pStyle w:val="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Существует несколько основных стратегий выхода на рынок. Особенно широкое их применение характерно для рынков товаров массового спроса, однако основные положения той или иной стратегии могут быть использованы и при работе на рынке товаров производственного назначения.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1) Стратегия контрольной точки – заключается в достижении целевой прибыли при заданных объемах сбыта или заданной цене товара. Объем, позволяющий достичь целевой прибыли при установленной цене, называется контрольной точкой. Метод основан на анализе безубыточности производства.</w:t>
      </w:r>
    </w:p>
    <w:p w:rsid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2) Стратегия «снятия сливок» - заключается в последовательном привлечении разных сегментов рынка. Стратегия позволяет фирме максимизировать прибыль, избежать ошибок при установлении цен, т.к. можно рассчитывать в будущем на благосклонное отношение потребителей к снижению цены товара.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3) Стратегия внедрения товара на рынок – заключается в установлении фирмой предельно низкой цены на товар при выходе на рынок с целью завоевать значительную долю и снизить себестоимость товара за счет реализации эффекта масштаба производства.</w:t>
      </w:r>
    </w:p>
    <w:p w:rsid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4) Стратегия, основанная на воспринимаемой ценности товара – опирается на знание и понимание конечного использования товара и восприятия его потребителем. Главная идея стратегии заключается в том, что покупатель сравнивает затраты на товар не с экономической, а с субъективной ценностью данного товара и цена при этом должна обеспечивать наилучшее соотношение достоинств товара и затрат данного потребителя на него.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5) Стратегии реализации группы товаров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Формирование стратегии интернационализации предприятия предусматривает выбор способа выхода на внешние рынки. Существует несколько способов проникновения на иностранные рынки, из которых компания, проанализировав все внешние и внутренние факторы, выбирает наиболее подходящий для себя. Предприятие может остановиться на экспорте, совместной предпринимательской деятельности или прямом инвестировании за границей (рис. 2.1).</w:t>
      </w:r>
    </w:p>
    <w:p w:rsidR="007C63B8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Каждый последующий стратегический подход требует принятия на себя большего объема обязательств, риска и контроля, но и обещает более высокие прибыли, очень полезной в данном случае является матрица выбора способа выхода на внешние рынки, представленная в трудах Г. Багиева (рис. 2.2).</w:t>
      </w:r>
    </w:p>
    <w:p w:rsidR="007C63B8" w:rsidRPr="00833EC0" w:rsidRDefault="00192BEA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E6B33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00.25pt">
            <v:imagedata r:id="rId7" o:title=""/>
          </v:shape>
        </w:pic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Рис. 2.1 Стратегии выхода на внешние рынки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3E6B33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81pt;height:170.25pt">
            <v:imagedata r:id="rId8" o:title=""/>
          </v:shape>
        </w:pic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Рис. 2.2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Матрица выбора способа выхода на международные рынки</w:t>
      </w:r>
    </w:p>
    <w:p w:rsidR="00192BEA" w:rsidRDefault="00192BEA" w:rsidP="00833EC0">
      <w:pPr>
        <w:pStyle w:val="23"/>
        <w:spacing w:line="360" w:lineRule="auto"/>
        <w:ind w:firstLine="709"/>
        <w:rPr>
          <w:color w:val="000000"/>
        </w:rPr>
      </w:pPr>
    </w:p>
    <w:p w:rsidR="007C63B8" w:rsidRP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Описанные выше общие принципы стратегий реализации товаров имеют широкое применение. Тем не менее, оперируя на конкретном рынке, важно учитывать отличительные характеристики данного рынка. Один из самых важных – рынок товаров производственного назначения. При реализации товара на этом рынке необходимо учитывать его особенности:</w:t>
      </w:r>
    </w:p>
    <w:p w:rsidR="007C63B8" w:rsidRP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спрос на этом рынке носит производственный характер (зависит от спроса на потребительские товары);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- основные товары здесь используются длительное время, поэтому для покупателей важны эксплуатационные затраты;</w:t>
      </w:r>
    </w:p>
    <w:p w:rsidR="007C63B8" w:rsidRP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- полезность товара легко определяется по исчисляемым параметрам, которые обязательно исследуются специалистами по закупкам;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- чувствительность к цене возрастает по мере увеличения частоты закупок товара, т.е. чувствительность к цене сырья и комплектующих выше, чем к цене сложного оборудования длительного пользования;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- закупки в значительной степени зависят от конкретных людей, принимающих решения по закупкам от имени предприятия;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- в процессе реализации товара необходимо учитывать меру влиятельности покупателя на рынке, которая зависит от его размера, объема закупок, кредитного рейтинга и других факторов;</w:t>
      </w:r>
    </w:p>
    <w:p w:rsid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- отмечается высокая профессиональная информированность покупателей о товаре.</w:t>
      </w:r>
    </w:p>
    <w:p w:rsidR="007C63B8" w:rsidRPr="00833EC0" w:rsidRDefault="007C63B8" w:rsidP="00833EC0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При выходе на внешний рынок компании необходимо учитывать факторы зарубежной окружающей среды. Основные факторы можно сгруппировать следующим образом:</w:t>
      </w:r>
    </w:p>
    <w:p w:rsidR="007C63B8" w:rsidRPr="00833EC0" w:rsidRDefault="007C63B8" w:rsidP="00833EC0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Глобальные факторы: международные политические конфликты; политические конфликты внутри страны; социальные конфликты; перестройка международных политических союзов.</w:t>
      </w:r>
    </w:p>
    <w:p w:rsidR="007C63B8" w:rsidRPr="00833EC0" w:rsidRDefault="007C63B8" w:rsidP="00833EC0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Локальные факторы: изменение условий рынка; нестабильность экономики; инфляция; трения с политическими группировками; трения с местными деловыми кругами.</w:t>
      </w:r>
    </w:p>
    <w:p w:rsidR="007C63B8" w:rsidRPr="00833EC0" w:rsidRDefault="007C63B8" w:rsidP="00833EC0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Инвестиционные факторы</w:t>
      </w:r>
      <w:r w:rsidR="00192BEA">
        <w:rPr>
          <w:color w:val="000000"/>
          <w:sz w:val="28"/>
          <w:szCs w:val="28"/>
        </w:rPr>
        <w:t>:</w:t>
      </w:r>
      <w:r w:rsidRPr="00833EC0">
        <w:rPr>
          <w:color w:val="000000"/>
          <w:sz w:val="28"/>
          <w:szCs w:val="28"/>
        </w:rPr>
        <w:t xml:space="preserve"> возможность национализации; возможный ущерб имуществу из-за высокого уровня преступности; ускоренный износ оборудования из-за климатических условий и небрежного отношения местного персонала и др.</w:t>
      </w:r>
    </w:p>
    <w:p w:rsidR="007C63B8" w:rsidRPr="00833EC0" w:rsidRDefault="007C63B8" w:rsidP="00833EC0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Факторы управленческого характера: сложности управления местным персоналом; конфликты с профсоюзами и др.</w:t>
      </w:r>
    </w:p>
    <w:p w:rsidR="007C63B8" w:rsidRPr="00833EC0" w:rsidRDefault="007C63B8" w:rsidP="00833EC0">
      <w:pPr>
        <w:pStyle w:val="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Для успешной работы компании на внешнем рынке необходимо знать законы, регулирующие права застройщика, заказчика и подрядчика, правовые положения иностранных компаний, законы об охране промышленной собственности, патентовании изобретений, страховании, труде. Необходимо изучить существующую практику по этим делам, а также общепринятые нормы разрешения споров на данном рынке.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К этой области изучения рынка можно отнести установление контактов с местными адвокатами, консультационными фирмами, которые ведут соответствующие дела.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Исследование потенциальных возможностей предприятия при работе на внешнем рынке проводится с целью его конкурентоспособность при работе на конкретном рынке.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В качестве примера изучим конкурентоспособность строительного рынка.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Для начала проводится подробный анализ конкурентоспособности по экономическим параметрам. Величина экономических параметров определяется по следующим элементам: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строительные работы;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монтажные работы;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затраты на приобретение (изготовление) основного и вспомогательного технологического оборудования;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прочие затраты (проектно-изыскательные, научно-исследовательские работы, подготовка кадров и др.)</w:t>
      </w:r>
    </w:p>
    <w:p w:rsidR="007C63B8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Сметная стоимость строительно-монтажных работ определяется по</w:t>
      </w:r>
      <w:r w:rsidR="00833EC0">
        <w:rPr>
          <w:color w:val="000000"/>
        </w:rPr>
        <w:t xml:space="preserve"> </w:t>
      </w:r>
      <w:r w:rsidRPr="00833EC0">
        <w:rPr>
          <w:color w:val="000000"/>
        </w:rPr>
        <w:t>формуле:</w:t>
      </w:r>
    </w:p>
    <w:p w:rsidR="00192BEA" w:rsidRPr="00833EC0" w:rsidRDefault="00192BEA" w:rsidP="00833EC0">
      <w:pPr>
        <w:pStyle w:val="21"/>
        <w:spacing w:line="360" w:lineRule="auto"/>
        <w:ind w:firstLine="709"/>
        <w:rPr>
          <w:color w:val="000000"/>
        </w:rPr>
      </w:pP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Ссмр = ПЗ+НР+ПН</w:t>
      </w:r>
    </w:p>
    <w:p w:rsidR="00192BEA" w:rsidRDefault="00192BEA" w:rsidP="00833EC0">
      <w:pPr>
        <w:pStyle w:val="21"/>
        <w:spacing w:line="360" w:lineRule="auto"/>
        <w:ind w:firstLine="709"/>
        <w:rPr>
          <w:color w:val="000000"/>
        </w:rPr>
      </w:pP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ПЗ - прямые затраты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НР - накладные расходы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ПН - плановые накопления (сметная прибыль)</w:t>
      </w:r>
    </w:p>
    <w:p w:rsid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Сметная стоимость является важнейшей составляющей цены контракта.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В общем виде цена контракта определяется:</w:t>
      </w:r>
    </w:p>
    <w:p w:rsidR="00192BEA" w:rsidRDefault="00192BEA" w:rsidP="00833EC0">
      <w:pPr>
        <w:pStyle w:val="21"/>
        <w:spacing w:line="360" w:lineRule="auto"/>
        <w:ind w:firstLine="709"/>
        <w:rPr>
          <w:color w:val="000000"/>
        </w:rPr>
      </w:pP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Цк = Ссмр+Сн</w:t>
      </w:r>
    </w:p>
    <w:p w:rsidR="00192BEA" w:rsidRDefault="00192BEA" w:rsidP="00833EC0">
      <w:pPr>
        <w:pStyle w:val="21"/>
        <w:spacing w:line="360" w:lineRule="auto"/>
        <w:ind w:firstLine="709"/>
        <w:rPr>
          <w:color w:val="000000"/>
        </w:rPr>
      </w:pP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Сн – сумма надбавки по капиталу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Определив предполагаемую цену контракта, необходимо провести сравнения с ценами других фирм, используя один из методов сравнения цен. Кроме экономических показателей, при определении конкурентоспособности необходимо учитывать следующие факторы: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уровень технологии производства, использование новейших изобретений и открытий, внедрение современных средств механизации и автоматизации производства; эффективность экспорта строительных конструкций, изделий и комплектующих;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возможность использования собственных и заемных средств генподрядной организацией для финансирования строительства;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эффективность проведения рекламных мероприятий, взаимодействие со СМИ; известность строительной компании на рынке;</w:t>
      </w:r>
    </w:p>
    <w:p w:rsidR="007C63B8" w:rsidRPr="00833EC0" w:rsidRDefault="007C63B8" w:rsidP="00833EC0">
      <w:pPr>
        <w:pStyle w:val="21"/>
        <w:numPr>
          <w:ilvl w:val="0"/>
          <w:numId w:val="9"/>
        </w:numPr>
        <w:spacing w:line="360" w:lineRule="auto"/>
        <w:ind w:left="0" w:firstLine="709"/>
        <w:rPr>
          <w:color w:val="000000"/>
        </w:rPr>
      </w:pPr>
      <w:r w:rsidRPr="00833EC0">
        <w:rPr>
          <w:color w:val="000000"/>
        </w:rPr>
        <w:t>возможность получения поддержки и содействия со стороны госорганов и общественных организаций; гарантии кредитов, страхование и т.д.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Оценка конкурентоспособности необходима для определения потенциальных возможностей компании на рынке и разработки соответствующих мер для ее повышения.</w:t>
      </w:r>
    </w:p>
    <w:p w:rsid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Управление конкурентоспособностью является важной задачей внешнеэкономической деятельности на уровне предприятия.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192BEA" w:rsidRDefault="007C63B8" w:rsidP="00192BEA">
      <w:pPr>
        <w:numPr>
          <w:ilvl w:val="0"/>
          <w:numId w:val="2"/>
        </w:numPr>
        <w:spacing w:line="360" w:lineRule="auto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192BEA">
        <w:rPr>
          <w:b/>
          <w:bCs/>
          <w:color w:val="000000"/>
          <w:sz w:val="28"/>
          <w:szCs w:val="28"/>
        </w:rPr>
        <w:t>Эффективность внешнеторговой деятельности предприятия</w:t>
      </w:r>
    </w:p>
    <w:p w:rsidR="00192BEA" w:rsidRDefault="00192BEA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Сущность экономической эффективности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ВЭД заключается в возможности экономии общественно необходимых затрат на производство товаров или услуг, реализуемой в сфере международной торговли через участие субъекта ВЭД в международном разделении труда.</w:t>
      </w: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Количественным показателем экономической эффективности внешнеэкономической операции служит отношение полученного результата в виде определённой денежной суммы к общей сумме осуществлённых затрат на достижение этого результата.</w:t>
      </w: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Экономическую эффективность экспорта характеризуют несколько показателей:</w:t>
      </w: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1) Показатель экономического эффекта экспорта – прибыли от экспорта</w:t>
      </w:r>
      <w:r w:rsidR="00192BEA">
        <w:rPr>
          <w:color w:val="000000"/>
          <w:sz w:val="28"/>
          <w:szCs w:val="28"/>
        </w:rPr>
        <w:t>:</w:t>
      </w:r>
    </w:p>
    <w:p w:rsidR="00192BEA" w:rsidRDefault="00192BEA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Пэкс = РПруб – НРин.вал х Круб/долл – НРруб – С,</w:t>
      </w:r>
    </w:p>
    <w:p w:rsidR="00192BEA" w:rsidRDefault="00192BEA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где НРин.вал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и Нрруб – величина накладных расходов в национальной (руб.) и иностранной валютах;</w:t>
      </w: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С – себестоимость реализованных товаров;</w:t>
      </w: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РП – сумма реализованных товаров в иностранной валюте;</w:t>
      </w: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Пэкс – прибыль от экспорта.</w:t>
      </w:r>
    </w:p>
    <w:p w:rsidR="007C63B8" w:rsidRP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Прибыль от экспорта также может быть определена следующим образом:</w:t>
      </w:r>
    </w:p>
    <w:p w:rsidR="00192BEA" w:rsidRDefault="00192BEA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3EC0" w:rsidRDefault="007C63B8" w:rsidP="00833EC0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Пэкс = (Вруб.экв + Вруб) – (С + НРруб.экв + НРруб),</w:t>
      </w:r>
    </w:p>
    <w:p w:rsidR="00192BEA" w:rsidRDefault="00192BEA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где Вруб – рублевая выручка от обязательной продажи валюты;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Вруб.экв – рублевый эквивалент оставшейся после продажи части валютной выручки;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НРруб.экв – рублевый эквивалент накладных расходов в иностранной валюте, определяется путем умножения на курс рубля к иностранной валюте на день пересчета.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 xml:space="preserve">Прибыль от экспорта в отчетном году сравнивается с аналогичными показателями базисного года и планового периода. Выявляется динамика данного показателя. Желательно соблюдение соотношения Пф </w:t>
      </w:r>
      <w:r w:rsidRPr="00833EC0">
        <w:rPr>
          <w:color w:val="000000"/>
          <w:sz w:val="28"/>
          <w:szCs w:val="28"/>
        </w:rPr>
        <w:sym w:font="Symbol" w:char="F03E"/>
      </w:r>
      <w:r w:rsidRPr="00833EC0">
        <w:rPr>
          <w:color w:val="000000"/>
          <w:sz w:val="28"/>
          <w:szCs w:val="28"/>
        </w:rPr>
        <w:t xml:space="preserve"> Пб.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Главная цель анализа эффективности экспорта выявить объективные возможности наиболее рационального участия в международном разделении труда, определить на перспективный период оптимальную структуру экспортного производства. Поэтому в расчетах обычно используют прогнозные данные о внешнеторговых ценах и народнохозяйственных издержках. Однако содержательную экономическую информацию дают показатели, опирающиеся на фактические значения валютных цен и затрат. Они особенно важны при построении и анализе отчетных таблиц (шкал) относительной (валютной) эффективности экспорта.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Следует отметить, что использование показателей валютной эффективности внешней торговли наталкивает на ряд ограничений.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Во-первых, они пригодны лишь для анализа вариантов экспорта по отдельному рынку и не дают возможности сопоставлять валютную эффективность товаров на различных рынках, так как инвалютные цены и конкретные условия, в которых реализуются товары на различных рынках, различны. В этой связи, для обеспечения сопоставимости валютной эффективности необходим учет реальной ценности различных валют.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Во-вторых, показатели валютной эффективности не дают ответа на вопрос: действительно ли экономятся затраты труда в результате внешней торговли и какова абсолютная величина этой экономии?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2) Показатели экономической эффективности.</w:t>
      </w:r>
    </w:p>
    <w:p w:rsid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Показатель экономической эффективности экспорта может быть определен как отношение выручки от экспорта к связанным с ним затратам:</w:t>
      </w:r>
    </w:p>
    <w:p w:rsidR="00192BEA" w:rsidRDefault="00192BEA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ЭЭ1 = (Вруб.экв + Вруб) / (С + НРруб.экв + НРруб),</w:t>
      </w:r>
    </w:p>
    <w:p w:rsidR="00192BEA" w:rsidRDefault="00192BEA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где ЭЭ1 – показатель абсолютной эффективности экспорта.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Этот показатель сравнивается с показателем ЭЭ2, характеризующим эффективность реализации продукции данного вида на внутреннем рынке:</w:t>
      </w:r>
    </w:p>
    <w:p w:rsidR="00192BEA" w:rsidRDefault="00192BEA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ЭЭ2 = РП / С,</w:t>
      </w:r>
    </w:p>
    <w:p w:rsidR="00192BEA" w:rsidRDefault="00192BEA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где ЭЭ2 – показатель относительной эффективности экспорта;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РП – объем экспортной продукции, пересчитанный во внутренних среднегодовых ценах;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С – полная себестоимость продукции в рублях.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 xml:space="preserve">Если ЭЭ1 </w:t>
      </w:r>
      <w:r w:rsidRPr="00833EC0">
        <w:rPr>
          <w:color w:val="000000"/>
          <w:sz w:val="28"/>
          <w:szCs w:val="28"/>
        </w:rPr>
        <w:sym w:font="Symbol" w:char="F03E"/>
      </w:r>
      <w:r w:rsidRPr="00833EC0">
        <w:rPr>
          <w:color w:val="000000"/>
          <w:sz w:val="28"/>
          <w:szCs w:val="28"/>
        </w:rPr>
        <w:t xml:space="preserve"> 1 и при этом ЭЭ1 </w:t>
      </w:r>
      <w:r w:rsidRPr="00833EC0">
        <w:rPr>
          <w:color w:val="000000"/>
          <w:sz w:val="28"/>
          <w:szCs w:val="28"/>
        </w:rPr>
        <w:sym w:font="Symbol" w:char="F03E"/>
      </w:r>
      <w:r w:rsidRPr="00833EC0">
        <w:rPr>
          <w:color w:val="000000"/>
          <w:sz w:val="28"/>
          <w:szCs w:val="28"/>
        </w:rPr>
        <w:t xml:space="preserve"> ЭЭ2 (т.е. эффективность реализации продукции на внешнем рынке выше, чем на внутреннем), то экспорт следует признать экономически выгодным и необходимо искать пути возможного расширения поставок продукции на экспорт с учетом наиболее выгодных направлений экспорта.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 xml:space="preserve">Показатели ЭЭ1 и ЭЭ2 целесообразно рассчитывать при заключении каждого экспортного контракта для выбора наиболее оптимального по критерию максимума ЭЭ1 и при условии ЭЭ1 </w:t>
      </w:r>
      <w:r w:rsidRPr="00833EC0">
        <w:rPr>
          <w:color w:val="000000"/>
          <w:sz w:val="28"/>
          <w:szCs w:val="28"/>
        </w:rPr>
        <w:sym w:font="Symbol" w:char="F03E"/>
      </w:r>
      <w:r w:rsidRPr="00833EC0">
        <w:rPr>
          <w:color w:val="000000"/>
          <w:sz w:val="28"/>
          <w:szCs w:val="28"/>
        </w:rPr>
        <w:t xml:space="preserve"> ЭЭ2 , а также при анализе ВЭД за отчетный период и при планировании ВЭД на предстоящий.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Экономическая эффективность внешнеторговых экспортных и импортных операций определяется сопоставлением всех материальных, финансовых и трудовых затрат на производство продукции и осуществление самой операции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с конечными финансовыми или иными результатами этой операции.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О динамике эффективности экспорта можно судить по соотношению темпов прироста доли экспортной продукции в общем объеме производства с темпами прироста доли прибыли от экспорта в общем объеме прибыли от реализации.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Например, если доля экспортной продукции выросла по сравнению с предыдущим периодом на 30%, а удельный вес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прибыли от экспорта в общем объеме прибыли от реализации вырос на 20%, то можно сказать, что эффективность экспорта снизилась.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Эффективность экспорта увеличивается в сравнении с предыдущим периодом, если темп прироста доли экспортной продукции меньше темпа прироста доли прибыли от экспорта.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Необходимо учитывать, что на изменение величины прибыли, получаемой от экспортных операций, оказывают существенное влияние курсовые разницы, возникающие в связи с изменением курса рубля к иностранным валютам при несовпадении во времени, например, принятия счета к оплате с моментом его оплаты. Положительные курсовые разницы увеличивают величину прибыли, отрицательные – уменьшают.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При росте курса иностранных валют к рублю положительные курсовые разницы возникают по активным счетам бухгалтерского учета, отрицательные курсовые разницы – по пассивным счетам (по кредиторской задолженности).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При снижении курса иностранных валют к рублю положительные курсовые разницы образуются по пассивным счетам, отрицательные – по активным.</w:t>
      </w:r>
    </w:p>
    <w:p w:rsid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При рассмотрении вопросов повышения экономической эффективности внешнеэкономических операций следует исходить из анализа основных факторов, определяющих структуру и уровень затрат как на производство продукции, так и затрат, сопутствующих осуществлению экспортных и импортных операций: транспортные расходы, расходы за хранение и перевалку грузов, страхование и т.д.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Основным направлением повышения экономической эффективности экспортной операции является, конечно, снижение уровня трудо – и материалозатрат при производстве экспортной продукции, т.е. снижение себестоимости продукции. Эта цель может быть достигнута только путём внедрения современных высокопроизводительных энерго - и материалосберегающих технологий, обеспечивающих не только высокую производительность труда, но и качество продукции. Предложение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на внешние рынки конкурентоспособной экспортной продукции высокого технического уровня и качества позволяет экспортёру получить более значительную валютную выручку, что в сочетании с низкой себестоимостью продукции обеспечивает высокую экономическую эффективность операции.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В условиях нашей обширной страны значимым направлением повышения эффективности внешнеторговых операций является сокращение расходов на транспортировку, перевалку и страхование внешнеторговых грузов. Выбор наиболее рациональных транспортных направлений и средств транспорта, внедрение интермодальных способов транспортировки, сокращение расходов за хранение и перевалку грузов, т.е. широкое использование всех возможностей и методов логистики – все это также приведёт к существенному повышению экономической эффективности внешнеторговых операций и внешней торговли в целом.</w:t>
      </w:r>
    </w:p>
    <w:p w:rsidR="007C63B8" w:rsidRPr="00833EC0" w:rsidRDefault="007C63B8" w:rsidP="00833EC0">
      <w:pPr>
        <w:pStyle w:val="21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Эффективность внешнеторговых операций в большой степени зависит также и от профессиональной подготовки руководящих и оперативных работников внешнеторговых организаций – субъектов ВЭД. Разработка и реализация экономически обоснованной маркетинговой политики, основанной на глубоком знании конъюнктуры мирового рынка конкретного товара, применение оптимальной стратегии и тактики проведения переговоров с торговыми партнёрами и т.д. – эти факторы во многом определяют эффективность внешнеторговой операции.</w:t>
      </w:r>
    </w:p>
    <w:p w:rsidR="007C63B8" w:rsidRPr="00833EC0" w:rsidRDefault="007C63B8" w:rsidP="00833EC0">
      <w:pPr>
        <w:pStyle w:val="1"/>
        <w:spacing w:line="360" w:lineRule="auto"/>
        <w:ind w:firstLine="709"/>
        <w:jc w:val="both"/>
        <w:rPr>
          <w:b w:val="0"/>
          <w:bCs w:val="0"/>
          <w:color w:val="000000"/>
        </w:rPr>
      </w:pPr>
    </w:p>
    <w:p w:rsidR="007C63B8" w:rsidRPr="007C63B8" w:rsidRDefault="007C63B8" w:rsidP="007C63B8">
      <w:pPr>
        <w:pStyle w:val="1"/>
        <w:spacing w:line="360" w:lineRule="auto"/>
        <w:ind w:firstLine="709"/>
        <w:rPr>
          <w:color w:val="000000"/>
        </w:rPr>
      </w:pPr>
      <w:r w:rsidRPr="007C63B8">
        <w:rPr>
          <w:color w:val="000000"/>
        </w:rPr>
        <w:t>4. Задача</w:t>
      </w:r>
    </w:p>
    <w:p w:rsidR="007C63B8" w:rsidRDefault="007C63B8" w:rsidP="00833EC0">
      <w:pPr>
        <w:pStyle w:val="a6"/>
        <w:spacing w:line="360" w:lineRule="auto"/>
        <w:ind w:left="0" w:firstLine="709"/>
        <w:jc w:val="both"/>
        <w:rPr>
          <w:b w:val="0"/>
          <w:bCs w:val="0"/>
          <w:color w:val="000000"/>
        </w:rPr>
      </w:pPr>
    </w:p>
    <w:p w:rsidR="007C63B8" w:rsidRPr="00833EC0" w:rsidRDefault="007C63B8" w:rsidP="00833EC0">
      <w:pPr>
        <w:pStyle w:val="a6"/>
        <w:spacing w:line="360" w:lineRule="auto"/>
        <w:ind w:left="0" w:firstLine="709"/>
        <w:jc w:val="both"/>
        <w:rPr>
          <w:b w:val="0"/>
          <w:bCs w:val="0"/>
          <w:color w:val="000000"/>
        </w:rPr>
      </w:pPr>
      <w:r w:rsidRPr="00833EC0">
        <w:rPr>
          <w:b w:val="0"/>
          <w:bCs w:val="0"/>
          <w:color w:val="000000"/>
        </w:rPr>
        <w:t>Имеются следующие данные по внешнеторговой организации</w:t>
      </w:r>
      <w:r>
        <w:rPr>
          <w:b w:val="0"/>
          <w:bCs w:val="0"/>
          <w:color w:val="000000"/>
        </w:rPr>
        <w:t xml:space="preserve"> </w:t>
      </w:r>
      <w:r w:rsidRPr="00833EC0">
        <w:rPr>
          <w:b w:val="0"/>
          <w:bCs w:val="0"/>
          <w:color w:val="000000"/>
        </w:rPr>
        <w:t>(тыс.руб.):</w:t>
      </w:r>
    </w:p>
    <w:p w:rsidR="007C63B8" w:rsidRPr="00833EC0" w:rsidRDefault="007C63B8" w:rsidP="00833EC0">
      <w:pPr>
        <w:pStyle w:val="a6"/>
        <w:spacing w:line="360" w:lineRule="auto"/>
        <w:ind w:left="0"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br w:type="page"/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90"/>
        <w:gridCol w:w="1200"/>
      </w:tblGrid>
      <w:tr w:rsidR="007C63B8" w:rsidRPr="007C63B8" w:rsidTr="007C63B8">
        <w:trPr>
          <w:cantSplit/>
          <w:trHeight w:val="420"/>
        </w:trPr>
        <w:tc>
          <w:tcPr>
            <w:tcW w:w="5670" w:type="dxa"/>
            <w:vMerge w:val="restart"/>
            <w:vAlign w:val="center"/>
          </w:tcPr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490" w:type="dxa"/>
            <w:gridSpan w:val="2"/>
          </w:tcPr>
          <w:p w:rsidR="007C63B8" w:rsidRPr="007C63B8" w:rsidRDefault="007C63B8" w:rsidP="007C63B8">
            <w:pPr>
              <w:pStyle w:val="1"/>
              <w:keepNext w:val="0"/>
              <w:spacing w:line="360" w:lineRule="auto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C63B8">
              <w:rPr>
                <w:b w:val="0"/>
                <w:bCs w:val="0"/>
                <w:color w:val="000000"/>
                <w:sz w:val="20"/>
                <w:szCs w:val="20"/>
              </w:rPr>
              <w:t>Период</w:t>
            </w:r>
          </w:p>
        </w:tc>
      </w:tr>
      <w:tr w:rsidR="007C63B8" w:rsidRPr="007C63B8" w:rsidTr="007C63B8">
        <w:trPr>
          <w:cantSplit/>
          <w:trHeight w:val="413"/>
        </w:trPr>
        <w:tc>
          <w:tcPr>
            <w:tcW w:w="5670" w:type="dxa"/>
            <w:vMerge/>
          </w:tcPr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7C63B8" w:rsidRPr="007C63B8" w:rsidRDefault="007C63B8" w:rsidP="007C63B8">
            <w:pPr>
              <w:pStyle w:val="1"/>
              <w:keepNext w:val="0"/>
              <w:spacing w:line="360" w:lineRule="auto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C63B8">
              <w:rPr>
                <w:b w:val="0"/>
                <w:bCs w:val="0"/>
                <w:color w:val="000000"/>
                <w:sz w:val="20"/>
                <w:szCs w:val="20"/>
              </w:rPr>
              <w:t xml:space="preserve">базисный </w:t>
            </w:r>
          </w:p>
        </w:tc>
        <w:tc>
          <w:tcPr>
            <w:tcW w:w="1200" w:type="dxa"/>
            <w:vAlign w:val="center"/>
          </w:tcPr>
          <w:p w:rsidR="007C63B8" w:rsidRPr="007C63B8" w:rsidRDefault="007C63B8" w:rsidP="007C63B8">
            <w:pPr>
              <w:pStyle w:val="1"/>
              <w:keepNext w:val="0"/>
              <w:spacing w:line="360" w:lineRule="auto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C63B8">
              <w:rPr>
                <w:b w:val="0"/>
                <w:bCs w:val="0"/>
                <w:color w:val="000000"/>
                <w:sz w:val="20"/>
                <w:szCs w:val="20"/>
              </w:rPr>
              <w:t xml:space="preserve">текущий </w:t>
            </w:r>
          </w:p>
        </w:tc>
      </w:tr>
      <w:tr w:rsidR="007C63B8" w:rsidRPr="007C63B8" w:rsidTr="007C63B8">
        <w:trPr>
          <w:trHeight w:val="982"/>
        </w:trPr>
        <w:tc>
          <w:tcPr>
            <w:tcW w:w="5670" w:type="dxa"/>
          </w:tcPr>
          <w:p w:rsidR="007C63B8" w:rsidRPr="007C63B8" w:rsidRDefault="007C63B8" w:rsidP="007C63B8">
            <w:pPr>
              <w:pStyle w:val="1"/>
              <w:keepNext w:val="0"/>
              <w:spacing w:line="360" w:lineRule="auto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C63B8">
              <w:rPr>
                <w:b w:val="0"/>
                <w:bCs w:val="0"/>
                <w:color w:val="000000"/>
                <w:sz w:val="20"/>
                <w:szCs w:val="20"/>
              </w:rPr>
              <w:t>Стоимость реализации экспортных товаров</w:t>
            </w:r>
          </w:p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Внутренняя стоимость реализованных экспортных товаров</w:t>
            </w:r>
          </w:p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Средние остатки средств по экспорту</w:t>
            </w:r>
          </w:p>
        </w:tc>
        <w:tc>
          <w:tcPr>
            <w:tcW w:w="1290" w:type="dxa"/>
          </w:tcPr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118 800</w:t>
            </w:r>
          </w:p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108 000</w:t>
            </w:r>
          </w:p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00" w:type="dxa"/>
          </w:tcPr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133 056</w:t>
            </w:r>
          </w:p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118 800</w:t>
            </w:r>
          </w:p>
          <w:p w:rsidR="007C63B8" w:rsidRPr="007C63B8" w:rsidRDefault="007C63B8" w:rsidP="007C63B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C63B8">
              <w:rPr>
                <w:color w:val="000000"/>
                <w:sz w:val="20"/>
                <w:szCs w:val="20"/>
              </w:rPr>
              <w:t>12 000</w:t>
            </w:r>
          </w:p>
        </w:tc>
      </w:tr>
    </w:tbl>
    <w:p w:rsidR="007C63B8" w:rsidRDefault="007C63B8" w:rsidP="00833EC0">
      <w:pPr>
        <w:pStyle w:val="a6"/>
        <w:spacing w:line="360" w:lineRule="auto"/>
        <w:ind w:left="0" w:firstLine="709"/>
        <w:jc w:val="both"/>
        <w:rPr>
          <w:b w:val="0"/>
          <w:bCs w:val="0"/>
          <w:color w:val="000000"/>
        </w:rPr>
      </w:pPr>
    </w:p>
    <w:p w:rsidR="007C63B8" w:rsidRPr="00833EC0" w:rsidRDefault="007C63B8" w:rsidP="00833EC0">
      <w:pPr>
        <w:pStyle w:val="a6"/>
        <w:spacing w:line="360" w:lineRule="auto"/>
        <w:ind w:left="0" w:firstLine="709"/>
        <w:jc w:val="both"/>
        <w:rPr>
          <w:b w:val="0"/>
          <w:bCs w:val="0"/>
          <w:color w:val="000000"/>
        </w:rPr>
      </w:pPr>
      <w:r w:rsidRPr="00833EC0">
        <w:rPr>
          <w:b w:val="0"/>
          <w:bCs w:val="0"/>
          <w:color w:val="000000"/>
        </w:rPr>
        <w:t>Определите:</w:t>
      </w:r>
    </w:p>
    <w:p w:rsidR="007C63B8" w:rsidRPr="00833EC0" w:rsidRDefault="007C63B8" w:rsidP="00833EC0">
      <w:pPr>
        <w:pStyle w:val="a6"/>
        <w:numPr>
          <w:ilvl w:val="0"/>
          <w:numId w:val="10"/>
        </w:numPr>
        <w:tabs>
          <w:tab w:val="num" w:pos="720"/>
        </w:tabs>
        <w:spacing w:line="360" w:lineRule="auto"/>
        <w:ind w:left="0" w:firstLine="709"/>
        <w:jc w:val="both"/>
        <w:rPr>
          <w:b w:val="0"/>
          <w:bCs w:val="0"/>
          <w:color w:val="000000"/>
        </w:rPr>
      </w:pPr>
      <w:r w:rsidRPr="00833EC0">
        <w:rPr>
          <w:b w:val="0"/>
          <w:bCs w:val="0"/>
          <w:color w:val="000000"/>
        </w:rPr>
        <w:t>коэффициент отдачи средств, вложенных в экспорт;</w:t>
      </w:r>
    </w:p>
    <w:p w:rsidR="007C63B8" w:rsidRPr="00833EC0" w:rsidRDefault="007C63B8" w:rsidP="00833EC0">
      <w:pPr>
        <w:pStyle w:val="a6"/>
        <w:numPr>
          <w:ilvl w:val="0"/>
          <w:numId w:val="10"/>
        </w:numPr>
        <w:tabs>
          <w:tab w:val="num" w:pos="720"/>
        </w:tabs>
        <w:spacing w:line="360" w:lineRule="auto"/>
        <w:ind w:left="0" w:firstLine="709"/>
        <w:jc w:val="both"/>
        <w:rPr>
          <w:b w:val="0"/>
          <w:bCs w:val="0"/>
          <w:color w:val="000000"/>
        </w:rPr>
      </w:pPr>
      <w:r w:rsidRPr="00833EC0">
        <w:rPr>
          <w:b w:val="0"/>
          <w:bCs w:val="0"/>
          <w:color w:val="000000"/>
        </w:rPr>
        <w:t>эффективность реализации экспорта (бюджетную эффективность).</w:t>
      </w:r>
    </w:p>
    <w:p w:rsidR="007C63B8" w:rsidRPr="007C63B8" w:rsidRDefault="007C63B8" w:rsidP="00833EC0">
      <w:pPr>
        <w:pStyle w:val="2"/>
        <w:spacing w:line="360" w:lineRule="auto"/>
        <w:ind w:firstLine="709"/>
        <w:jc w:val="both"/>
        <w:rPr>
          <w:b/>
          <w:bCs/>
          <w:color w:val="000000"/>
        </w:rPr>
      </w:pPr>
      <w:r w:rsidRPr="007C63B8">
        <w:rPr>
          <w:b/>
          <w:bCs/>
          <w:color w:val="000000"/>
        </w:rPr>
        <w:t>Решение</w:t>
      </w:r>
    </w:p>
    <w:p w:rsidR="007C63B8" w:rsidRDefault="007C63B8" w:rsidP="00833EC0">
      <w:pPr>
        <w:pStyle w:val="23"/>
        <w:spacing w:line="360" w:lineRule="auto"/>
        <w:ind w:firstLine="709"/>
        <w:rPr>
          <w:color w:val="000000"/>
        </w:rPr>
      </w:pPr>
    </w:p>
    <w:p w:rsid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1) Коэффициент отдачи средств = Внутренняя стоимость реализованных экспортных товаров / Стоимость реализации экспортных товаров</w:t>
      </w:r>
    </w:p>
    <w:p w:rsidR="007C63B8" w:rsidRDefault="007C63B8" w:rsidP="00833EC0">
      <w:pPr>
        <w:pStyle w:val="23"/>
        <w:spacing w:line="360" w:lineRule="auto"/>
        <w:ind w:firstLine="709"/>
        <w:rPr>
          <w:color w:val="000000"/>
        </w:rPr>
      </w:pPr>
    </w:p>
    <w:p w:rsid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Коэф. отдачи средств базисный = 108000/118800 = 0,91 (тыс.руб.)</w:t>
      </w:r>
    </w:p>
    <w:p w:rsidR="007C63B8" w:rsidRP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Коэф. отдачи средств текущий = 118800/133056 = 0,89 (тыс.руб.)</w:t>
      </w:r>
    </w:p>
    <w:p w:rsidR="007C63B8" w:rsidRDefault="007C63B8" w:rsidP="00833EC0">
      <w:pPr>
        <w:pStyle w:val="23"/>
        <w:spacing w:line="360" w:lineRule="auto"/>
        <w:ind w:firstLine="709"/>
        <w:rPr>
          <w:color w:val="000000"/>
        </w:rPr>
      </w:pPr>
    </w:p>
    <w:p w:rsid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2) Эффективность реализации экспорта = Средние остатки средств по экспорту / Стоимость реализации экспортных товаров</w:t>
      </w:r>
    </w:p>
    <w:p w:rsidR="007C63B8" w:rsidRDefault="007C63B8" w:rsidP="00833EC0">
      <w:pPr>
        <w:pStyle w:val="23"/>
        <w:spacing w:line="360" w:lineRule="auto"/>
        <w:ind w:firstLine="709"/>
        <w:rPr>
          <w:color w:val="000000"/>
        </w:rPr>
      </w:pPr>
    </w:p>
    <w:p w:rsid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Эффективность реализации базисный = 10000/118800 = 0,084 (тыс.руб.)</w:t>
      </w:r>
    </w:p>
    <w:p w:rsidR="007C63B8" w:rsidRPr="00833EC0" w:rsidRDefault="007C63B8" w:rsidP="00833EC0">
      <w:pPr>
        <w:pStyle w:val="23"/>
        <w:spacing w:line="360" w:lineRule="auto"/>
        <w:ind w:firstLine="709"/>
        <w:rPr>
          <w:color w:val="000000"/>
        </w:rPr>
      </w:pPr>
      <w:r w:rsidRPr="00833EC0">
        <w:rPr>
          <w:color w:val="000000"/>
        </w:rPr>
        <w:t>Эффективность реализации текущий = 12000/133056 = 0,090 (тыс.руб.)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833EC0" w:rsidP="007C63B8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C63B8" w:rsidRPr="00833EC0">
        <w:rPr>
          <w:b/>
          <w:bCs/>
          <w:color w:val="000000"/>
          <w:sz w:val="28"/>
          <w:szCs w:val="28"/>
        </w:rPr>
        <w:t>Список использованной литературы:</w:t>
      </w:r>
    </w:p>
    <w:p w:rsidR="007C63B8" w:rsidRPr="00833EC0" w:rsidRDefault="007C63B8" w:rsidP="00833E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63B8" w:rsidRPr="00833EC0" w:rsidRDefault="007C63B8" w:rsidP="00833EC0">
      <w:pPr>
        <w:numPr>
          <w:ilvl w:val="0"/>
          <w:numId w:val="12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Экономика организаций (предприятий): программа дисциплины и методические указания по выполнению контрольных работ для студентов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2, 3, 4–го курсов всех специальностей заочной формы обучени</w:t>
      </w:r>
      <w:r w:rsidR="00833EC0">
        <w:rPr>
          <w:color w:val="000000"/>
          <w:sz w:val="28"/>
          <w:szCs w:val="28"/>
        </w:rPr>
        <w:t>я / сост.: Т.Н. Бондаренко, О.П. Савватеева, Г.</w:t>
      </w:r>
      <w:r w:rsidRPr="00833EC0">
        <w:rPr>
          <w:color w:val="000000"/>
          <w:sz w:val="28"/>
          <w:szCs w:val="28"/>
        </w:rPr>
        <w:t>Б. Шпак. – Хабаровск : РИЦ ХГАЭП, 2006. –</w:t>
      </w:r>
      <w:r w:rsidR="00833EC0">
        <w:rPr>
          <w:color w:val="000000"/>
          <w:sz w:val="28"/>
          <w:szCs w:val="28"/>
        </w:rPr>
        <w:t xml:space="preserve"> </w:t>
      </w:r>
      <w:r w:rsidRPr="00833EC0">
        <w:rPr>
          <w:color w:val="000000"/>
          <w:sz w:val="28"/>
          <w:szCs w:val="28"/>
        </w:rPr>
        <w:t>24 с.</w:t>
      </w:r>
    </w:p>
    <w:p w:rsidR="00833EC0" w:rsidRDefault="007C63B8" w:rsidP="00833EC0">
      <w:pPr>
        <w:numPr>
          <w:ilvl w:val="0"/>
          <w:numId w:val="12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Внешнеэкономическая деятельность предприятия: учебник для студентов вузов, обучающихся по экономическим специальностям / Под ред. Л.Е.</w:t>
      </w:r>
      <w:r w:rsidR="00833EC0">
        <w:rPr>
          <w:color w:val="000000"/>
          <w:sz w:val="28"/>
          <w:szCs w:val="28"/>
          <w:lang w:val="en-US"/>
        </w:rPr>
        <w:t xml:space="preserve"> </w:t>
      </w:r>
      <w:r w:rsidRPr="00833EC0">
        <w:rPr>
          <w:color w:val="000000"/>
          <w:sz w:val="28"/>
          <w:szCs w:val="28"/>
        </w:rPr>
        <w:t>Стровского. – 4-е изд., перераб. И доп. – М.: ЮНИТИ-ДАНА, 2007 г. – 799 с.</w:t>
      </w:r>
    </w:p>
    <w:p w:rsidR="00833EC0" w:rsidRDefault="007C63B8" w:rsidP="00833EC0">
      <w:pPr>
        <w:numPr>
          <w:ilvl w:val="0"/>
          <w:numId w:val="12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Сберегаев Н.А. Внешнеэкономическая деятельность: учебное пособие. – 2- изд. – М.: Дело, 2000 г.</w:t>
      </w:r>
    </w:p>
    <w:p w:rsidR="007C63B8" w:rsidRPr="00833EC0" w:rsidRDefault="007C63B8" w:rsidP="00833EC0">
      <w:pPr>
        <w:numPr>
          <w:ilvl w:val="0"/>
          <w:numId w:val="12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Внешнеэкономическая деятельность: учебник для студ.учреждений сред.проф.образования / Под ред. Б.М. Смитиенко, В.К. Поспелова. – 2-е изд., испр. и доп. – М.: Издательский центр «Академия», 2004 г</w:t>
      </w:r>
    </w:p>
    <w:p w:rsidR="007C63B8" w:rsidRPr="00833EC0" w:rsidRDefault="007C63B8" w:rsidP="00833EC0">
      <w:pPr>
        <w:numPr>
          <w:ilvl w:val="0"/>
          <w:numId w:val="12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833EC0">
        <w:rPr>
          <w:color w:val="000000"/>
          <w:sz w:val="28"/>
          <w:szCs w:val="28"/>
        </w:rPr>
        <w:t>Абрютина М.С. Экономика предприятий: учебник. – М.: Изд-во «Дело и Сервис», 2004 г.</w:t>
      </w:r>
      <w:bookmarkStart w:id="0" w:name="_GoBack"/>
      <w:bookmarkEnd w:id="0"/>
    </w:p>
    <w:sectPr w:rsidR="007C63B8" w:rsidRPr="00833EC0" w:rsidSect="00833EC0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3B" w:rsidRDefault="00CF403B">
      <w:r>
        <w:separator/>
      </w:r>
    </w:p>
  </w:endnote>
  <w:endnote w:type="continuationSeparator" w:id="0">
    <w:p w:rsidR="00CF403B" w:rsidRDefault="00CF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B8" w:rsidRDefault="00F44F63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7C63B8" w:rsidRDefault="007C63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3B" w:rsidRDefault="00CF403B">
      <w:r>
        <w:separator/>
      </w:r>
    </w:p>
  </w:footnote>
  <w:footnote w:type="continuationSeparator" w:id="0">
    <w:p w:rsidR="00CF403B" w:rsidRDefault="00CF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328AF"/>
    <w:multiLevelType w:val="hybridMultilevel"/>
    <w:tmpl w:val="82D6F136"/>
    <w:lvl w:ilvl="0" w:tplc="8684E3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D7D04"/>
    <w:multiLevelType w:val="hybridMultilevel"/>
    <w:tmpl w:val="11E02EB8"/>
    <w:lvl w:ilvl="0" w:tplc="CADCC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8496C"/>
    <w:multiLevelType w:val="hybridMultilevel"/>
    <w:tmpl w:val="59DA8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F5D01"/>
    <w:multiLevelType w:val="hybridMultilevel"/>
    <w:tmpl w:val="1276B9DC"/>
    <w:lvl w:ilvl="0" w:tplc="0A46A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C1EE8"/>
    <w:multiLevelType w:val="hybridMultilevel"/>
    <w:tmpl w:val="D8000E98"/>
    <w:lvl w:ilvl="0" w:tplc="2F289CE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4D55F7"/>
    <w:multiLevelType w:val="hybridMultilevel"/>
    <w:tmpl w:val="94CA7576"/>
    <w:lvl w:ilvl="0" w:tplc="51E65B94">
      <w:start w:val="1"/>
      <w:numFmt w:val="decimal"/>
      <w:lvlText w:val="%1."/>
      <w:lvlJc w:val="left"/>
      <w:pPr>
        <w:tabs>
          <w:tab w:val="num" w:pos="1081"/>
        </w:tabs>
        <w:ind w:left="1081" w:hanging="6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>
    <w:nsid w:val="3A7734FC"/>
    <w:multiLevelType w:val="hybridMultilevel"/>
    <w:tmpl w:val="3326B586"/>
    <w:lvl w:ilvl="0" w:tplc="B20C1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52077"/>
    <w:multiLevelType w:val="hybridMultilevel"/>
    <w:tmpl w:val="EF2CF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34247"/>
    <w:multiLevelType w:val="hybridMultilevel"/>
    <w:tmpl w:val="3828B8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32306"/>
    <w:multiLevelType w:val="hybridMultilevel"/>
    <w:tmpl w:val="ABB85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8641A4"/>
    <w:multiLevelType w:val="hybridMultilevel"/>
    <w:tmpl w:val="6A223070"/>
    <w:lvl w:ilvl="0" w:tplc="AC222F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DB560C6"/>
    <w:multiLevelType w:val="multilevel"/>
    <w:tmpl w:val="4ED0D634"/>
    <w:lvl w:ilvl="0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EC0"/>
    <w:rsid w:val="00192BEA"/>
    <w:rsid w:val="003E6B33"/>
    <w:rsid w:val="007C63B8"/>
    <w:rsid w:val="00833EC0"/>
    <w:rsid w:val="00C4758F"/>
    <w:rsid w:val="00CF403B"/>
    <w:rsid w:val="00F4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2AAFF6D2-E934-4507-85E3-F65E2449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paragraph" w:styleId="a6">
    <w:name w:val="Body Text Indent"/>
    <w:basedOn w:val="a"/>
    <w:link w:val="a7"/>
    <w:uiPriority w:val="99"/>
    <w:pPr>
      <w:ind w:left="708"/>
      <w:jc w:val="center"/>
    </w:pPr>
    <w:rPr>
      <w:b/>
      <w:bCs/>
      <w:sz w:val="28"/>
      <w:szCs w:val="28"/>
    </w:rPr>
  </w:style>
  <w:style w:type="character" w:customStyle="1" w:styleId="a7">
    <w:name w:val="Основний текст з відступом Знак"/>
    <w:link w:val="a6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pPr>
      <w:jc w:val="center"/>
    </w:pPr>
  </w:style>
  <w:style w:type="character" w:customStyle="1" w:styleId="a9">
    <w:name w:val="Основний текст Знак"/>
    <w:link w:val="a8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firstLine="360"/>
      <w:jc w:val="both"/>
    </w:pPr>
    <w:rPr>
      <w:sz w:val="28"/>
      <w:szCs w:val="28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jc w:val="both"/>
    </w:pPr>
    <w:rPr>
      <w:sz w:val="28"/>
      <w:szCs w:val="28"/>
    </w:rPr>
  </w:style>
  <w:style w:type="character" w:customStyle="1" w:styleId="24">
    <w:name w:val="Основний текст 2 Знак"/>
    <w:link w:val="23"/>
    <w:uiPriority w:val="99"/>
    <w:semiHidden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rPr>
      <w:sz w:val="28"/>
      <w:szCs w:val="28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dc:description/>
  <cp:lastModifiedBy>Irina</cp:lastModifiedBy>
  <cp:revision>2</cp:revision>
  <cp:lastPrinted>2009-01-14T15:46:00Z</cp:lastPrinted>
  <dcterms:created xsi:type="dcterms:W3CDTF">2014-09-12T06:12:00Z</dcterms:created>
  <dcterms:modified xsi:type="dcterms:W3CDTF">2014-09-12T06:12:00Z</dcterms:modified>
</cp:coreProperties>
</file>