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D65" w:rsidRPr="00B26CFD" w:rsidRDefault="00F57D65" w:rsidP="00A2009B">
      <w:pPr>
        <w:pStyle w:val="1"/>
        <w:widowControl w:val="0"/>
        <w:spacing w:before="0" w:after="0" w:line="360" w:lineRule="auto"/>
        <w:ind w:firstLine="709"/>
        <w:rPr>
          <w:rFonts w:ascii="Times New Roman" w:hAnsi="Times New Roman" w:cs="Arial"/>
          <w:b w:val="0"/>
          <w:sz w:val="28"/>
          <w:szCs w:val="32"/>
        </w:rPr>
      </w:pPr>
      <w:r w:rsidRPr="00B26CFD">
        <w:rPr>
          <w:rFonts w:ascii="Times New Roman" w:hAnsi="Times New Roman" w:cs="Arial"/>
          <w:b w:val="0"/>
          <w:sz w:val="28"/>
          <w:szCs w:val="28"/>
        </w:rPr>
        <w:t>Кафедра</w:t>
      </w:r>
      <w:r w:rsidR="00A2009B" w:rsidRPr="00B26CFD">
        <w:rPr>
          <w:rFonts w:ascii="Times New Roman" w:hAnsi="Times New Roman" w:cs="Arial"/>
          <w:b w:val="0"/>
          <w:sz w:val="28"/>
          <w:szCs w:val="28"/>
        </w:rPr>
        <w:t xml:space="preserve"> </w:t>
      </w:r>
      <w:r w:rsidRPr="00B26CFD">
        <w:rPr>
          <w:rFonts w:ascii="Times New Roman" w:hAnsi="Times New Roman" w:cs="Arial"/>
          <w:b w:val="0"/>
          <w:sz w:val="28"/>
          <w:szCs w:val="28"/>
        </w:rPr>
        <w:t>фінансів</w:t>
      </w:r>
    </w:p>
    <w:p w:rsidR="00F57D65" w:rsidRPr="00B26CFD" w:rsidRDefault="00F57D65" w:rsidP="00A2009B">
      <w:pPr>
        <w:keepNext/>
        <w:spacing w:line="360" w:lineRule="auto"/>
        <w:ind w:firstLine="709"/>
        <w:jc w:val="both"/>
        <w:rPr>
          <w:rFonts w:cs="Arial"/>
          <w:sz w:val="28"/>
          <w:lang w:val="uk-UA"/>
        </w:rPr>
      </w:pPr>
    </w:p>
    <w:p w:rsidR="00F57D65" w:rsidRPr="00B26CFD" w:rsidRDefault="00F57D65" w:rsidP="00A2009B">
      <w:pPr>
        <w:keepNext/>
        <w:spacing w:line="360" w:lineRule="auto"/>
        <w:ind w:firstLine="709"/>
        <w:jc w:val="both"/>
        <w:rPr>
          <w:rFonts w:cs="Arial"/>
          <w:sz w:val="28"/>
          <w:lang w:val="uk-UA"/>
        </w:rPr>
      </w:pPr>
    </w:p>
    <w:p w:rsidR="00F57D65" w:rsidRPr="00B26CFD" w:rsidRDefault="00F57D65" w:rsidP="00A2009B">
      <w:pPr>
        <w:keepNext/>
        <w:spacing w:line="360" w:lineRule="auto"/>
        <w:ind w:firstLine="709"/>
        <w:jc w:val="both"/>
        <w:rPr>
          <w:rFonts w:cs="Arial"/>
          <w:sz w:val="28"/>
          <w:lang w:val="uk-UA"/>
        </w:rPr>
      </w:pPr>
    </w:p>
    <w:p w:rsidR="00F57D65" w:rsidRPr="00B26CFD" w:rsidRDefault="00F57D65" w:rsidP="00A2009B">
      <w:pPr>
        <w:keepNext/>
        <w:spacing w:line="360" w:lineRule="auto"/>
        <w:ind w:firstLine="709"/>
        <w:jc w:val="both"/>
        <w:rPr>
          <w:rFonts w:cs="Arial"/>
          <w:sz w:val="28"/>
          <w:lang w:val="uk-UA"/>
        </w:rPr>
      </w:pPr>
    </w:p>
    <w:p w:rsidR="00F57D65" w:rsidRPr="00B26CFD" w:rsidRDefault="00F57D65" w:rsidP="00A2009B">
      <w:pPr>
        <w:keepNext/>
        <w:spacing w:line="360" w:lineRule="auto"/>
        <w:ind w:firstLine="709"/>
        <w:jc w:val="both"/>
        <w:rPr>
          <w:rFonts w:cs="Arial"/>
          <w:sz w:val="28"/>
          <w:lang w:val="uk-UA"/>
        </w:rPr>
      </w:pPr>
    </w:p>
    <w:p w:rsidR="00F57D65" w:rsidRPr="00B26CFD" w:rsidRDefault="00F57D65" w:rsidP="00A2009B">
      <w:pPr>
        <w:keepNext/>
        <w:spacing w:line="360" w:lineRule="auto"/>
        <w:ind w:firstLine="709"/>
        <w:jc w:val="both"/>
        <w:rPr>
          <w:rFonts w:cs="Arial"/>
          <w:sz w:val="28"/>
          <w:lang w:val="uk-UA"/>
        </w:rPr>
      </w:pPr>
    </w:p>
    <w:p w:rsidR="00F57D65" w:rsidRPr="00B26CFD" w:rsidRDefault="00F57D65" w:rsidP="00A2009B">
      <w:pPr>
        <w:keepNext/>
        <w:spacing w:line="360" w:lineRule="auto"/>
        <w:ind w:firstLine="709"/>
        <w:jc w:val="both"/>
        <w:rPr>
          <w:rFonts w:cs="Arial"/>
          <w:sz w:val="28"/>
          <w:lang w:val="uk-UA"/>
        </w:rPr>
      </w:pPr>
    </w:p>
    <w:p w:rsidR="00A2009B" w:rsidRPr="00B26CFD" w:rsidRDefault="00A2009B" w:rsidP="00A2009B">
      <w:pPr>
        <w:keepNext/>
        <w:spacing w:line="360" w:lineRule="auto"/>
        <w:ind w:firstLine="709"/>
        <w:jc w:val="both"/>
        <w:rPr>
          <w:rFonts w:cs="Arial"/>
          <w:sz w:val="28"/>
          <w:lang w:val="uk-UA"/>
        </w:rPr>
      </w:pPr>
    </w:p>
    <w:p w:rsidR="00A2009B" w:rsidRPr="00B26CFD" w:rsidRDefault="00A2009B" w:rsidP="00A2009B">
      <w:pPr>
        <w:keepNext/>
        <w:spacing w:line="360" w:lineRule="auto"/>
        <w:ind w:firstLine="709"/>
        <w:jc w:val="both"/>
        <w:rPr>
          <w:rFonts w:cs="Arial"/>
          <w:sz w:val="28"/>
          <w:lang w:val="uk-UA"/>
        </w:rPr>
      </w:pPr>
    </w:p>
    <w:p w:rsidR="00A2009B" w:rsidRPr="00B26CFD" w:rsidRDefault="00A2009B" w:rsidP="00A2009B">
      <w:pPr>
        <w:keepNext/>
        <w:spacing w:line="360" w:lineRule="auto"/>
        <w:ind w:firstLine="709"/>
        <w:jc w:val="both"/>
        <w:rPr>
          <w:rFonts w:cs="Arial"/>
          <w:sz w:val="28"/>
          <w:lang w:val="uk-UA"/>
        </w:rPr>
      </w:pPr>
    </w:p>
    <w:p w:rsidR="00A2009B" w:rsidRPr="00B26CFD" w:rsidRDefault="00A2009B" w:rsidP="00A2009B">
      <w:pPr>
        <w:keepNext/>
        <w:spacing w:line="360" w:lineRule="auto"/>
        <w:ind w:firstLine="709"/>
        <w:jc w:val="both"/>
        <w:rPr>
          <w:rFonts w:cs="Arial"/>
          <w:sz w:val="28"/>
          <w:lang w:val="uk-UA"/>
        </w:rPr>
      </w:pPr>
    </w:p>
    <w:p w:rsidR="00F57D65" w:rsidRPr="00B26CFD" w:rsidRDefault="00F57D65" w:rsidP="00A2009B">
      <w:pPr>
        <w:pStyle w:val="2"/>
        <w:widowControl w:val="0"/>
        <w:spacing w:before="0" w:after="0" w:line="360" w:lineRule="auto"/>
        <w:ind w:firstLine="709"/>
        <w:rPr>
          <w:rFonts w:ascii="Times New Roman" w:hAnsi="Times New Roman" w:cs="Arial"/>
          <w:szCs w:val="48"/>
        </w:rPr>
      </w:pPr>
      <w:r w:rsidRPr="00B26CFD">
        <w:rPr>
          <w:rFonts w:ascii="Times New Roman" w:hAnsi="Times New Roman" w:cs="Arial"/>
          <w:szCs w:val="48"/>
        </w:rPr>
        <w:t>К</w:t>
      </w:r>
      <w:r w:rsidR="00A2009B" w:rsidRPr="00B26CFD">
        <w:rPr>
          <w:rFonts w:ascii="Times New Roman" w:hAnsi="Times New Roman" w:cs="Arial"/>
          <w:szCs w:val="48"/>
        </w:rPr>
        <w:t>о</w:t>
      </w:r>
      <w:r w:rsidRPr="00B26CFD">
        <w:rPr>
          <w:rFonts w:ascii="Times New Roman" w:hAnsi="Times New Roman" w:cs="Arial"/>
          <w:szCs w:val="48"/>
        </w:rPr>
        <w:t>нтрольна</w:t>
      </w:r>
      <w:r w:rsidR="00A2009B" w:rsidRPr="00B26CFD">
        <w:rPr>
          <w:rFonts w:ascii="Times New Roman" w:hAnsi="Times New Roman" w:cs="Arial"/>
          <w:szCs w:val="48"/>
        </w:rPr>
        <w:t xml:space="preserve"> </w:t>
      </w:r>
      <w:r w:rsidRPr="00B26CFD">
        <w:rPr>
          <w:rFonts w:ascii="Times New Roman" w:hAnsi="Times New Roman" w:cs="Arial"/>
          <w:szCs w:val="48"/>
        </w:rPr>
        <w:t>робота</w:t>
      </w:r>
    </w:p>
    <w:p w:rsidR="00F57D65" w:rsidRPr="00B26CFD" w:rsidRDefault="00F57D65" w:rsidP="00A2009B">
      <w:pPr>
        <w:keepNext/>
        <w:spacing w:line="360" w:lineRule="auto"/>
        <w:ind w:firstLine="709"/>
        <w:jc w:val="center"/>
        <w:rPr>
          <w:rFonts w:cs="Arial"/>
          <w:b/>
          <w:sz w:val="28"/>
          <w:szCs w:val="36"/>
          <w:lang w:val="uk-UA"/>
        </w:rPr>
      </w:pPr>
      <w:r w:rsidRPr="00B26CFD">
        <w:rPr>
          <w:rFonts w:cs="Arial"/>
          <w:b/>
          <w:sz w:val="28"/>
          <w:szCs w:val="36"/>
          <w:lang w:val="uk-UA"/>
        </w:rPr>
        <w:t>з дисципліни:</w:t>
      </w:r>
      <w:r w:rsidR="00A2009B" w:rsidRPr="00B26CFD">
        <w:rPr>
          <w:rFonts w:cs="Arial"/>
          <w:b/>
          <w:sz w:val="28"/>
          <w:szCs w:val="36"/>
          <w:lang w:val="uk-UA"/>
        </w:rPr>
        <w:t xml:space="preserve"> </w:t>
      </w:r>
      <w:r w:rsidRPr="00B26CFD">
        <w:rPr>
          <w:rFonts w:cs="Arial"/>
          <w:b/>
          <w:sz w:val="28"/>
          <w:szCs w:val="36"/>
          <w:lang w:val="uk-UA"/>
        </w:rPr>
        <w:t>«Валютне регулювання»</w:t>
      </w:r>
    </w:p>
    <w:p w:rsidR="00B64A51" w:rsidRPr="00B26CFD" w:rsidRDefault="00B64A51" w:rsidP="00A2009B">
      <w:pPr>
        <w:keepNext/>
        <w:spacing w:line="360" w:lineRule="auto"/>
        <w:ind w:firstLine="709"/>
        <w:jc w:val="center"/>
        <w:rPr>
          <w:b/>
          <w:caps/>
          <w:sz w:val="28"/>
          <w:szCs w:val="32"/>
          <w:lang w:val="uk-UA"/>
        </w:rPr>
      </w:pPr>
      <w:r w:rsidRPr="00B26CFD">
        <w:rPr>
          <w:caps/>
          <w:sz w:val="28"/>
          <w:szCs w:val="32"/>
          <w:lang w:val="uk-UA"/>
        </w:rPr>
        <w:br w:type="page"/>
      </w:r>
      <w:r w:rsidRPr="00B26CFD">
        <w:rPr>
          <w:b/>
          <w:caps/>
          <w:sz w:val="28"/>
          <w:szCs w:val="32"/>
          <w:lang w:val="uk-UA"/>
        </w:rPr>
        <w:t>Зміст контрольної роботи</w:t>
      </w:r>
    </w:p>
    <w:p w:rsidR="00B64A51" w:rsidRPr="00B26CFD" w:rsidRDefault="00B64A51" w:rsidP="00A2009B">
      <w:pPr>
        <w:keepNext/>
        <w:spacing w:line="360" w:lineRule="auto"/>
        <w:ind w:firstLine="709"/>
        <w:jc w:val="both"/>
        <w:rPr>
          <w:caps/>
          <w:sz w:val="28"/>
          <w:szCs w:val="32"/>
          <w:lang w:val="uk-UA"/>
        </w:rPr>
      </w:pPr>
    </w:p>
    <w:p w:rsidR="00B64A51" w:rsidRPr="00B26CFD" w:rsidRDefault="00B64A51" w:rsidP="00A2009B">
      <w:pPr>
        <w:keepNext/>
        <w:spacing w:line="360" w:lineRule="auto"/>
        <w:rPr>
          <w:caps/>
          <w:sz w:val="28"/>
          <w:szCs w:val="32"/>
          <w:lang w:val="uk-UA"/>
        </w:rPr>
      </w:pPr>
      <w:r w:rsidRPr="00B26CFD">
        <w:rPr>
          <w:sz w:val="28"/>
          <w:szCs w:val="28"/>
          <w:lang w:val="uk-UA"/>
        </w:rPr>
        <w:t>Питання №3. Поняття валютних цінностей та їх основні види.</w:t>
      </w:r>
    </w:p>
    <w:p w:rsidR="00B64A51" w:rsidRPr="00B26CFD" w:rsidRDefault="00B64A51" w:rsidP="00A2009B">
      <w:pPr>
        <w:keepNext/>
        <w:spacing w:line="360" w:lineRule="auto"/>
        <w:rPr>
          <w:sz w:val="28"/>
          <w:szCs w:val="28"/>
          <w:lang w:val="uk-UA"/>
        </w:rPr>
      </w:pPr>
      <w:r w:rsidRPr="00B26CFD">
        <w:rPr>
          <w:sz w:val="28"/>
          <w:szCs w:val="28"/>
          <w:lang w:val="uk-UA"/>
        </w:rPr>
        <w:t>Питання № 34.</w:t>
      </w:r>
      <w:r w:rsidR="00A2009B" w:rsidRPr="00B26CFD">
        <w:rPr>
          <w:sz w:val="28"/>
          <w:szCs w:val="28"/>
          <w:lang w:val="uk-UA"/>
        </w:rPr>
        <w:t xml:space="preserve"> </w:t>
      </w:r>
      <w:r w:rsidRPr="00B26CFD">
        <w:rPr>
          <w:sz w:val="28"/>
          <w:szCs w:val="28"/>
          <w:lang w:val="uk-UA"/>
        </w:rPr>
        <w:t>Поняття валютного ринку. Його функції.</w:t>
      </w:r>
    </w:p>
    <w:p w:rsidR="00B64A51" w:rsidRPr="00B26CFD" w:rsidRDefault="00B64A51" w:rsidP="00A2009B">
      <w:pPr>
        <w:keepNext/>
        <w:spacing w:line="360" w:lineRule="auto"/>
        <w:rPr>
          <w:sz w:val="28"/>
          <w:szCs w:val="28"/>
          <w:lang w:val="uk-UA"/>
        </w:rPr>
      </w:pPr>
      <w:r w:rsidRPr="00B26CFD">
        <w:rPr>
          <w:sz w:val="28"/>
          <w:szCs w:val="28"/>
          <w:lang w:val="uk-UA"/>
        </w:rPr>
        <w:t>Література</w:t>
      </w:r>
    </w:p>
    <w:p w:rsidR="000A6240" w:rsidRPr="00B26CFD" w:rsidRDefault="00B64A51" w:rsidP="00A2009B">
      <w:pPr>
        <w:keepNext/>
        <w:spacing w:line="360" w:lineRule="auto"/>
        <w:ind w:firstLine="709"/>
        <w:jc w:val="center"/>
        <w:rPr>
          <w:b/>
          <w:sz w:val="28"/>
          <w:szCs w:val="28"/>
          <w:lang w:val="uk-UA"/>
        </w:rPr>
      </w:pPr>
      <w:r w:rsidRPr="00B26CFD">
        <w:rPr>
          <w:sz w:val="28"/>
          <w:szCs w:val="28"/>
          <w:lang w:val="uk-UA"/>
        </w:rPr>
        <w:br w:type="page"/>
      </w:r>
      <w:r w:rsidRPr="00B26CFD">
        <w:rPr>
          <w:b/>
          <w:sz w:val="28"/>
          <w:szCs w:val="28"/>
          <w:lang w:val="uk-UA"/>
        </w:rPr>
        <w:t>Питання №3.</w:t>
      </w:r>
    </w:p>
    <w:p w:rsidR="00B64A51" w:rsidRPr="00B26CFD" w:rsidRDefault="00B64A51" w:rsidP="00A2009B">
      <w:pPr>
        <w:keepNext/>
        <w:spacing w:line="360" w:lineRule="auto"/>
        <w:ind w:firstLine="709"/>
        <w:jc w:val="center"/>
        <w:rPr>
          <w:b/>
          <w:sz w:val="28"/>
          <w:szCs w:val="28"/>
          <w:lang w:val="uk-UA"/>
        </w:rPr>
      </w:pPr>
      <w:r w:rsidRPr="00B26CFD">
        <w:rPr>
          <w:b/>
          <w:sz w:val="28"/>
          <w:szCs w:val="28"/>
          <w:lang w:val="uk-UA"/>
        </w:rPr>
        <w:t>Поняття валютн</w:t>
      </w:r>
      <w:r w:rsidR="00A2009B" w:rsidRPr="00B26CFD">
        <w:rPr>
          <w:b/>
          <w:sz w:val="28"/>
          <w:szCs w:val="28"/>
          <w:lang w:val="uk-UA"/>
        </w:rPr>
        <w:t>их цінностей та їх основні види</w:t>
      </w:r>
    </w:p>
    <w:p w:rsidR="00B64A51" w:rsidRPr="00B26CFD" w:rsidRDefault="00B64A51" w:rsidP="00A2009B">
      <w:pPr>
        <w:keepNext/>
        <w:spacing w:line="360" w:lineRule="auto"/>
        <w:ind w:firstLine="709"/>
        <w:jc w:val="both"/>
        <w:rPr>
          <w:sz w:val="28"/>
          <w:szCs w:val="28"/>
          <w:lang w:val="uk-UA"/>
        </w:rPr>
      </w:pPr>
    </w:p>
    <w:p w:rsidR="00B64A51" w:rsidRPr="00B26CFD" w:rsidRDefault="00B64A51" w:rsidP="00A2009B">
      <w:pPr>
        <w:keepNext/>
        <w:spacing w:line="360" w:lineRule="auto"/>
        <w:ind w:firstLine="709"/>
        <w:jc w:val="both"/>
        <w:rPr>
          <w:sz w:val="28"/>
          <w:szCs w:val="28"/>
          <w:lang w:val="uk-UA"/>
        </w:rPr>
      </w:pPr>
      <w:r w:rsidRPr="00B26CFD">
        <w:rPr>
          <w:sz w:val="28"/>
          <w:szCs w:val="28"/>
          <w:lang w:val="uk-UA"/>
        </w:rPr>
        <w:t>Валютними цінностями називають такі цінності, по відношенню до яких валютним законодавством країни встановлено особливий режим обігу на території країни та при перетині її кордонів. До валютних цінностей відносять іноземну валюту, платіжні документи (чеки, векселі, акредитиви) і фондові цінності (акції, облігації) в іноземній валюті, дорогоцінні метали та дорогоцінне каміння (за винятком ювелірних та побутових виробів із дорогоцінних металів та каміння).</w:t>
      </w:r>
    </w:p>
    <w:p w:rsidR="00B64A51" w:rsidRPr="00B26CFD" w:rsidRDefault="00B64A51" w:rsidP="00A2009B">
      <w:pPr>
        <w:keepNext/>
        <w:spacing w:line="360" w:lineRule="auto"/>
        <w:ind w:firstLine="709"/>
        <w:jc w:val="both"/>
        <w:rPr>
          <w:sz w:val="28"/>
          <w:szCs w:val="28"/>
          <w:lang w:val="uk-UA"/>
        </w:rPr>
      </w:pPr>
      <w:r w:rsidRPr="00B26CFD">
        <w:rPr>
          <w:sz w:val="28"/>
          <w:szCs w:val="28"/>
          <w:lang w:val="uk-UA"/>
        </w:rPr>
        <w:t>Згідно з чинним законодавством України до валютних цінностей віднесено:</w:t>
      </w:r>
    </w:p>
    <w:p w:rsidR="00B64A51" w:rsidRPr="00B26CFD" w:rsidRDefault="00B64A51" w:rsidP="00A2009B">
      <w:pPr>
        <w:keepNext/>
        <w:numPr>
          <w:ilvl w:val="0"/>
          <w:numId w:val="1"/>
        </w:numPr>
        <w:tabs>
          <w:tab w:val="clear" w:pos="1117"/>
          <w:tab w:val="num" w:pos="567"/>
        </w:tabs>
        <w:spacing w:line="360" w:lineRule="auto"/>
        <w:ind w:left="0" w:firstLine="709"/>
        <w:jc w:val="both"/>
        <w:rPr>
          <w:sz w:val="28"/>
          <w:szCs w:val="28"/>
          <w:lang w:val="uk-UA"/>
        </w:rPr>
      </w:pPr>
      <w:r w:rsidRPr="00B26CFD">
        <w:rPr>
          <w:sz w:val="28"/>
          <w:szCs w:val="28"/>
          <w:lang w:val="uk-UA"/>
        </w:rPr>
        <w:t>валюту України — грошові знаки у вигляді банкнотів, казначейських білетів, монет і в інших формах, що перебувають у обігу та є законними платіжними засобами на території України, а також вилучені з обігу або такі, що вилучаються з нього, але підлягають обміну на грошові знаки, які перебувають в обігу, кошти на рахунках, у внесках в банківських та інших кредитно-фінансових установах на території України;</w:t>
      </w:r>
    </w:p>
    <w:p w:rsidR="00B64A51" w:rsidRPr="00B26CFD" w:rsidRDefault="00B64A51" w:rsidP="00A2009B">
      <w:pPr>
        <w:keepNext/>
        <w:numPr>
          <w:ilvl w:val="0"/>
          <w:numId w:val="1"/>
        </w:numPr>
        <w:tabs>
          <w:tab w:val="clear" w:pos="1117"/>
          <w:tab w:val="num" w:pos="567"/>
        </w:tabs>
        <w:spacing w:line="360" w:lineRule="auto"/>
        <w:ind w:left="0" w:firstLine="709"/>
        <w:jc w:val="both"/>
        <w:rPr>
          <w:sz w:val="28"/>
          <w:szCs w:val="28"/>
          <w:lang w:val="uk-UA"/>
        </w:rPr>
      </w:pPr>
      <w:r w:rsidRPr="00B26CFD">
        <w:rPr>
          <w:sz w:val="28"/>
          <w:szCs w:val="28"/>
          <w:lang w:val="uk-UA"/>
        </w:rPr>
        <w:t>платіжні документи та інші цінні папери (акції, облігації, купони до них, бони, векселі (трати), боргові розписки, акредитиви, чеки, банківські накази, депозитні сертифікати, ощадні книжки, інші фінансові та банківські документи), виражені у валюті України;</w:t>
      </w:r>
    </w:p>
    <w:p w:rsidR="00B64A51" w:rsidRPr="00B26CFD" w:rsidRDefault="00B64A51" w:rsidP="00A2009B">
      <w:pPr>
        <w:keepNext/>
        <w:numPr>
          <w:ilvl w:val="0"/>
          <w:numId w:val="1"/>
        </w:numPr>
        <w:tabs>
          <w:tab w:val="clear" w:pos="1117"/>
          <w:tab w:val="num" w:pos="567"/>
        </w:tabs>
        <w:spacing w:line="360" w:lineRule="auto"/>
        <w:ind w:left="0" w:firstLine="709"/>
        <w:jc w:val="both"/>
        <w:rPr>
          <w:sz w:val="28"/>
          <w:szCs w:val="28"/>
          <w:lang w:val="uk-UA"/>
        </w:rPr>
      </w:pPr>
      <w:r w:rsidRPr="00B26CFD">
        <w:rPr>
          <w:sz w:val="28"/>
          <w:szCs w:val="28"/>
          <w:lang w:val="uk-UA"/>
        </w:rPr>
        <w:t>іноземну валюту — іноземні грошові знаки у вигляді банкнотів, казначейських білетів, монет, що перебувають у обігу та є законними платіжними засобами на території відповідної іноземної держави, а також вилучені з обігу або такі, що вилучаються з нього, але підлягають обміну на грошові знаки, які перебувають в обігу, кошти в грошових одиницях іноземних держав і міжнародних розрахункових (клірингових) одиницях, що перебувають на рахунках або вносяться до банківських та інших кредитно-фінансових установ за межами України;</w:t>
      </w:r>
    </w:p>
    <w:p w:rsidR="00B64A51" w:rsidRPr="00B26CFD" w:rsidRDefault="00B64A51" w:rsidP="00A2009B">
      <w:pPr>
        <w:keepNext/>
        <w:numPr>
          <w:ilvl w:val="0"/>
          <w:numId w:val="1"/>
        </w:numPr>
        <w:tabs>
          <w:tab w:val="clear" w:pos="1117"/>
          <w:tab w:val="num" w:pos="567"/>
        </w:tabs>
        <w:spacing w:line="360" w:lineRule="auto"/>
        <w:ind w:left="0" w:firstLine="709"/>
        <w:jc w:val="both"/>
        <w:rPr>
          <w:sz w:val="28"/>
          <w:szCs w:val="28"/>
          <w:lang w:val="uk-UA"/>
        </w:rPr>
      </w:pPr>
      <w:r w:rsidRPr="00B26CFD">
        <w:rPr>
          <w:sz w:val="28"/>
          <w:szCs w:val="28"/>
          <w:lang w:val="uk-UA"/>
        </w:rPr>
        <w:t>платіжні документи та інші цінні папери (акції, облігації, купони до них, векселі (тратти), боргові розписки, акредитиви, чеки, банківські накази, депозитні сертифікати, інші фінансові та банківські документи), виражені в іноземній валюті або монетарних металах;</w:t>
      </w:r>
    </w:p>
    <w:p w:rsidR="00B64A51" w:rsidRPr="00B26CFD" w:rsidRDefault="00B64A51" w:rsidP="00A2009B">
      <w:pPr>
        <w:keepNext/>
        <w:numPr>
          <w:ilvl w:val="0"/>
          <w:numId w:val="1"/>
        </w:numPr>
        <w:tabs>
          <w:tab w:val="clear" w:pos="1117"/>
          <w:tab w:val="num" w:pos="567"/>
        </w:tabs>
        <w:spacing w:line="360" w:lineRule="auto"/>
        <w:ind w:left="0" w:firstLine="709"/>
        <w:jc w:val="both"/>
        <w:rPr>
          <w:sz w:val="28"/>
          <w:szCs w:val="28"/>
          <w:lang w:val="uk-UA"/>
        </w:rPr>
      </w:pPr>
      <w:r w:rsidRPr="00B26CFD">
        <w:rPr>
          <w:sz w:val="28"/>
          <w:szCs w:val="28"/>
          <w:lang w:val="uk-UA"/>
        </w:rPr>
        <w:t>монетарні метали — золото і метали іридієво-платинової групи в будь-якому вигляді та стані, за винятком ювелірних, промислових і побутових виробів із цих металів і брухту цих металів.</w:t>
      </w:r>
    </w:p>
    <w:p w:rsidR="00B64A51" w:rsidRPr="00B26CFD" w:rsidRDefault="00B64A51" w:rsidP="00A2009B">
      <w:pPr>
        <w:keepNext/>
        <w:spacing w:line="360" w:lineRule="auto"/>
        <w:ind w:firstLine="709"/>
        <w:jc w:val="both"/>
        <w:rPr>
          <w:sz w:val="28"/>
          <w:szCs w:val="28"/>
          <w:lang w:val="uk-UA"/>
        </w:rPr>
      </w:pPr>
      <w:r w:rsidRPr="00B26CFD">
        <w:rPr>
          <w:sz w:val="28"/>
          <w:szCs w:val="28"/>
          <w:lang w:val="uk-UA"/>
        </w:rPr>
        <w:t>Головне місце серед валютних цінностей посідає валюта (від італ. valuta — цінність, вартість) — грошові знаки іноземних держав, а також кредитні та платіжні документи в іноземних грошових одиницях, що застосовуються в міжнародних розрахунках. До іноземної валюти також належать кошти у грошових одиницях іноземних держав і міжнародних розрахункових одиницях, що перебувають на рахунках або вносяться до банківських установ за межами України, та міжнародні розрахункові одиниці — умовні і грошові одиниці, які створюються міжнародними економічними та валютно-фінансовими організаціями для використання у міжнародних валютних відносинах: СДР (спеціальні права запозичення), євро, КФА (африканський франк), КФП (франк для заморських територій) тощо.</w:t>
      </w:r>
    </w:p>
    <w:p w:rsidR="00B64A51" w:rsidRPr="00B26CFD" w:rsidRDefault="00B64A51" w:rsidP="00A2009B">
      <w:pPr>
        <w:keepNext/>
        <w:spacing w:line="360" w:lineRule="auto"/>
        <w:ind w:firstLine="709"/>
        <w:jc w:val="both"/>
        <w:rPr>
          <w:sz w:val="28"/>
          <w:szCs w:val="28"/>
          <w:lang w:val="uk-UA"/>
        </w:rPr>
      </w:pPr>
    </w:p>
    <w:p w:rsidR="00B64A51" w:rsidRPr="00B26CFD" w:rsidRDefault="00B64A51" w:rsidP="00A2009B">
      <w:pPr>
        <w:keepNext/>
        <w:spacing w:line="360" w:lineRule="auto"/>
        <w:ind w:firstLine="709"/>
        <w:jc w:val="center"/>
        <w:rPr>
          <w:b/>
          <w:sz w:val="28"/>
          <w:szCs w:val="28"/>
          <w:lang w:val="uk-UA"/>
        </w:rPr>
      </w:pPr>
      <w:r w:rsidRPr="00B26CFD">
        <w:rPr>
          <w:b/>
          <w:sz w:val="28"/>
          <w:szCs w:val="28"/>
          <w:lang w:val="uk-UA"/>
        </w:rPr>
        <w:t>Питання № 34. Понятт</w:t>
      </w:r>
      <w:r w:rsidR="00A2009B" w:rsidRPr="00B26CFD">
        <w:rPr>
          <w:b/>
          <w:sz w:val="28"/>
          <w:szCs w:val="28"/>
          <w:lang w:val="uk-UA"/>
        </w:rPr>
        <w:t>я валютного ринку. Його функції</w:t>
      </w:r>
    </w:p>
    <w:p w:rsidR="00AF6B54" w:rsidRPr="00B26CFD" w:rsidRDefault="00AF6B54" w:rsidP="00A2009B">
      <w:pPr>
        <w:keepNext/>
        <w:spacing w:line="360" w:lineRule="auto"/>
        <w:ind w:firstLine="709"/>
        <w:jc w:val="center"/>
        <w:rPr>
          <w:b/>
          <w:sz w:val="28"/>
          <w:szCs w:val="28"/>
          <w:lang w:val="uk-UA"/>
        </w:rPr>
      </w:pPr>
      <w:r w:rsidRPr="00B26CFD">
        <w:rPr>
          <w:b/>
          <w:sz w:val="28"/>
          <w:szCs w:val="28"/>
          <w:lang w:val="uk-UA"/>
        </w:rPr>
        <w:t>Валютний ринок</w:t>
      </w:r>
    </w:p>
    <w:p w:rsidR="000A6240" w:rsidRPr="00B26CFD" w:rsidRDefault="000A6240" w:rsidP="00A2009B">
      <w:pPr>
        <w:keepNext/>
        <w:spacing w:line="360" w:lineRule="auto"/>
        <w:ind w:firstLine="709"/>
        <w:jc w:val="both"/>
        <w:rPr>
          <w:sz w:val="28"/>
          <w:szCs w:val="28"/>
          <w:lang w:val="uk-UA"/>
        </w:rPr>
      </w:pP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Валютний ринок це механізм, за допомогою якого встановлюються правові та економічні взаємовідносини між споживачами і продавцями валют, система сталих і водночас різноманітних економічних та організаційних відносин між учасниками міжнародних розрахунків з приводу валютних операцій, зовнішньої торгівлі, надання фінансових послуг, здійснення інвестицій та інших видів діяльності, які вимагають обміну і використання різних іноземних валют. Стрижнем валютних операцій, що здійснюються на валютному ринку, є валютний курс, рівень якого постійно коливається під впливом попиту й пропозиції учасників цих операцій.</w:t>
      </w:r>
    </w:p>
    <w:p w:rsidR="00AF6B54" w:rsidRPr="00B26CFD" w:rsidRDefault="002C1A5D" w:rsidP="00A2009B">
      <w:pPr>
        <w:keepNext/>
        <w:spacing w:line="360" w:lineRule="auto"/>
        <w:ind w:firstLine="709"/>
        <w:jc w:val="both"/>
        <w:rPr>
          <w:sz w:val="28"/>
          <w:szCs w:val="28"/>
          <w:lang w:val="uk-UA"/>
        </w:rPr>
      </w:pPr>
      <w:r>
        <w:rPr>
          <w:sz w:val="28"/>
          <w:szCs w:val="28"/>
          <w:lang w:val="uk-UA"/>
        </w:rPr>
        <w:t>Валютн</w:t>
      </w:r>
      <w:r w:rsidR="00AF6B54" w:rsidRPr="00B26CFD">
        <w:rPr>
          <w:sz w:val="28"/>
          <w:szCs w:val="28"/>
          <w:lang w:val="uk-UA"/>
        </w:rPr>
        <w:t>а біржа є організаційно оформленим регулярним валютним ринком, на якому відбувається торгівля валютою на основі попиту і пропозиції. Членами валютної біржі в Україні можуть бути комерційні банки, яким видані ліцензії на проведення валютних операцій, а також фінансові установи, яким чинним законодавством надане право на їх проведення. Як самостійна структура вона широко функціонувала ще в період домонополістичного капіталізму. У сучасний період у розвинених країнах операції з іноземною валютою зосереджені переважно у великих банках. Лише в деяких країнах збереглися валютні біржі як самостійні структури (наприклад, у Німеччині, Франції).</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Головними суб'єктами валютного ринку виступають великі транснаціональні корпорації та банки (ТНК, ТНД). Залежно від обсягу, характеру операцій і кількості використаних валют розрізняють світові, національні та регіональні валютні ринки. Більша частина операцій припадає на долари США, а також німецькі марки, англійські фунти стерлінгів, японську єну, французький та швейцарський франки.</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Попит на іноземну валюту пов'язаний із залежністю національної економіки від імпорту та обумовлений її конвертованістю. Конвертованість це гарантована можливість грошової</w:t>
      </w:r>
      <w:r w:rsidR="00A2009B" w:rsidRPr="00B26CFD">
        <w:rPr>
          <w:sz w:val="28"/>
          <w:szCs w:val="28"/>
          <w:lang w:val="uk-UA"/>
        </w:rPr>
        <w:t xml:space="preserve"> </w:t>
      </w:r>
      <w:r w:rsidRPr="00B26CFD">
        <w:rPr>
          <w:sz w:val="28"/>
          <w:szCs w:val="28"/>
          <w:lang w:val="uk-UA"/>
        </w:rPr>
        <w:t>одиниці вільно обмінюватись на інші валюти. При повній конвертованості національної валюти кожна юридична і фізична особа може вільно брати участь у зовнішньоекономічній діяльності, продавати, купувати та обмінювати національну валюту на іноземну за певними курсами без будь-яких обмежень або прямого втручання держави.</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Чим нижче рівень конвертації національної валюти, чим більше валютний ринок підвласний державному регулюванню (перш за все, встановленню фіксованого курсу національної валюти щодо інших валют). Основними формами валютних операцій щодо забезпечення міжнародних розрахунків є негайна поставка - "спот", поставка через певний період "форвард", обов'язкові поставки - "аутрайт" і з правом відмови - "опціон". Підтримуються ці стосунки через мережу супутникового моніторного, телетайпного та телефонного зв'язку, який об'єднує практично весь світ. Навіть строкові валютні угоди укладаються за допомогою телефону або телексу і лише пізніше підтверджуються письмово.</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Валютний ринок України на всіх своїх організаційних сегментах (біржовому, позабіржовому та готівковому) має розвивати власну інфраструктуру шляхом "диверсифікованого" проникнення в усі регіони країни та створення реально функціонуючих регіональних валютних ринків з метою запобігання розвитку тіньового валютного ринку та зменшення числа жертв махінацій, що характерні для даного сегмента валютного ринку.</w:t>
      </w:r>
    </w:p>
    <w:p w:rsidR="00B64A51" w:rsidRPr="00B26CFD" w:rsidRDefault="00AF6B54" w:rsidP="00A2009B">
      <w:pPr>
        <w:keepNext/>
        <w:spacing w:line="360" w:lineRule="auto"/>
        <w:ind w:firstLine="709"/>
        <w:jc w:val="both"/>
        <w:rPr>
          <w:sz w:val="28"/>
          <w:szCs w:val="28"/>
          <w:lang w:val="uk-UA"/>
        </w:rPr>
      </w:pPr>
      <w:r w:rsidRPr="00B26CFD">
        <w:rPr>
          <w:sz w:val="28"/>
          <w:szCs w:val="28"/>
          <w:lang w:val="uk-UA"/>
        </w:rPr>
        <w:t>Основні функції валютного ринку</w:t>
      </w:r>
    </w:p>
    <w:p w:rsidR="000D5651" w:rsidRPr="00B26CFD" w:rsidRDefault="000D5651" w:rsidP="00A2009B">
      <w:pPr>
        <w:keepNext/>
        <w:spacing w:line="360" w:lineRule="auto"/>
        <w:ind w:firstLine="709"/>
        <w:jc w:val="both"/>
        <w:rPr>
          <w:sz w:val="28"/>
          <w:lang w:val="uk-UA"/>
        </w:rPr>
      </w:pPr>
      <w:r w:rsidRPr="00B26CFD">
        <w:rPr>
          <w:sz w:val="28"/>
          <w:lang w:val="uk-UA"/>
        </w:rPr>
        <w:t>Валютний ринок як економічна категорія відображає певну сукупність відносин щодо здійснення операцій з купівлі-продажу іноземної валюти, інших валютних цінностей, цінних паперів у іноземній валюті та руху іноземних капіталів. З практичної точки зору під валютним ринком розуміють офіційні фінансові центри, в яких зосереджено здійснення валютних операцій. Найбільшими міжнародними валютними ринками, представленими сукупністю банків, бірж і фінансових компаній, є ринки Лондона, Нью-Йорка, Токіо, Франкфурта-на-Майні, Парижа, Сінгапура, Цюриха, Гонконга.</w:t>
      </w:r>
    </w:p>
    <w:p w:rsidR="000D5651" w:rsidRPr="00B26CFD" w:rsidRDefault="000D5651" w:rsidP="00A2009B">
      <w:pPr>
        <w:keepNext/>
        <w:spacing w:line="360" w:lineRule="auto"/>
        <w:ind w:firstLine="709"/>
        <w:jc w:val="both"/>
        <w:rPr>
          <w:sz w:val="28"/>
          <w:lang w:val="uk-UA"/>
        </w:rPr>
      </w:pPr>
      <w:r w:rsidRPr="00B26CFD">
        <w:rPr>
          <w:sz w:val="28"/>
          <w:lang w:val="uk-UA"/>
        </w:rPr>
        <w:t>Головними функціями валютного ринку є:</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реалізація валютної політики держави, спрямованої на забезпечення регулювання національної економіки та розширення зовнішньоекономічних зв'язків;</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сприяння поглибленню міжнародного розподілу праці та міжнародної торгівлі;</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визначення і формування попиту та пропозиції на іноземні валюти;</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своєчасне здійснення міжнародних розрахунків;</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регулювання валютних курсів;</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хеджування валютних ризиків;</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диверсифікація валютних резервів;</w:t>
      </w:r>
    </w:p>
    <w:p w:rsidR="000D5651" w:rsidRPr="00B26CFD" w:rsidRDefault="000D5651" w:rsidP="00A2009B">
      <w:pPr>
        <w:keepNext/>
        <w:numPr>
          <w:ilvl w:val="0"/>
          <w:numId w:val="3"/>
        </w:numPr>
        <w:autoSpaceDE/>
        <w:autoSpaceDN/>
        <w:adjustRightInd/>
        <w:spacing w:line="360" w:lineRule="auto"/>
        <w:ind w:left="0" w:firstLine="709"/>
        <w:jc w:val="both"/>
        <w:rPr>
          <w:sz w:val="28"/>
          <w:lang w:val="uk-UA"/>
        </w:rPr>
      </w:pPr>
      <w:r w:rsidRPr="00B26CFD">
        <w:rPr>
          <w:sz w:val="28"/>
          <w:lang w:val="uk-UA"/>
        </w:rPr>
        <w:t>одержання прибутку від операцій з валютою та валютними цінностями тощо.</w:t>
      </w:r>
    </w:p>
    <w:p w:rsidR="000D5651" w:rsidRPr="00B26CFD" w:rsidRDefault="000D5651" w:rsidP="00A2009B">
      <w:pPr>
        <w:keepNext/>
        <w:spacing w:line="360" w:lineRule="auto"/>
        <w:ind w:firstLine="709"/>
        <w:jc w:val="both"/>
        <w:rPr>
          <w:sz w:val="28"/>
          <w:lang w:val="uk-UA"/>
        </w:rPr>
      </w:pPr>
      <w:r w:rsidRPr="00B26CFD">
        <w:rPr>
          <w:sz w:val="28"/>
          <w:lang w:val="uk-UA"/>
        </w:rPr>
        <w:t>Розрізняють такі ринки:</w:t>
      </w:r>
    </w:p>
    <w:p w:rsidR="000D5651" w:rsidRPr="00B26CFD" w:rsidRDefault="000D5651" w:rsidP="00A2009B">
      <w:pPr>
        <w:keepNext/>
        <w:numPr>
          <w:ilvl w:val="1"/>
          <w:numId w:val="3"/>
        </w:numPr>
        <w:tabs>
          <w:tab w:val="clear" w:pos="2149"/>
          <w:tab w:val="num" w:pos="720"/>
        </w:tabs>
        <w:autoSpaceDE/>
        <w:autoSpaceDN/>
        <w:adjustRightInd/>
        <w:spacing w:line="360" w:lineRule="auto"/>
        <w:ind w:left="0" w:firstLine="709"/>
        <w:jc w:val="both"/>
        <w:rPr>
          <w:sz w:val="28"/>
          <w:lang w:val="uk-UA"/>
        </w:rPr>
      </w:pPr>
      <w:r w:rsidRPr="00B26CFD">
        <w:rPr>
          <w:sz w:val="28"/>
          <w:lang w:val="uk-UA"/>
        </w:rPr>
        <w:t>Регіональні ринки: європейський (Лондон, Цюрих, Париж, Франкфурт-на-Майні), північноамериканський (Нью-Йорк), азіатський (Токіо, Сінгапур, Гонконг).</w:t>
      </w:r>
    </w:p>
    <w:p w:rsidR="000D5651" w:rsidRPr="00B26CFD" w:rsidRDefault="000D5651" w:rsidP="00A2009B">
      <w:pPr>
        <w:keepNext/>
        <w:numPr>
          <w:ilvl w:val="1"/>
          <w:numId w:val="3"/>
        </w:numPr>
        <w:tabs>
          <w:tab w:val="clear" w:pos="2149"/>
          <w:tab w:val="num" w:pos="720"/>
        </w:tabs>
        <w:autoSpaceDE/>
        <w:autoSpaceDN/>
        <w:adjustRightInd/>
        <w:spacing w:line="360" w:lineRule="auto"/>
        <w:ind w:left="0" w:firstLine="709"/>
        <w:jc w:val="both"/>
        <w:rPr>
          <w:sz w:val="28"/>
          <w:lang w:val="uk-UA"/>
        </w:rPr>
      </w:pPr>
      <w:r w:rsidRPr="00B26CFD">
        <w:rPr>
          <w:sz w:val="28"/>
          <w:lang w:val="uk-UA"/>
        </w:rPr>
        <w:t>Національні ринки, які забезпечують рух валютних потоків у даній країні та обслуговують зв'язки з міжнародними валютними центрами. Розвиненість національного валютного ринку залежить від стану фінансово-кредитної системи країни, рівня її інтеграції у світову економіку, системи валютного регулювання та інших чинників.</w:t>
      </w:r>
    </w:p>
    <w:p w:rsidR="000D5651" w:rsidRPr="00B26CFD" w:rsidRDefault="000D5651" w:rsidP="00A2009B">
      <w:pPr>
        <w:keepNext/>
        <w:numPr>
          <w:ilvl w:val="1"/>
          <w:numId w:val="3"/>
        </w:numPr>
        <w:tabs>
          <w:tab w:val="clear" w:pos="2149"/>
          <w:tab w:val="num" w:pos="720"/>
        </w:tabs>
        <w:autoSpaceDE/>
        <w:autoSpaceDN/>
        <w:adjustRightInd/>
        <w:spacing w:line="360" w:lineRule="auto"/>
        <w:ind w:left="0" w:firstLine="709"/>
        <w:jc w:val="both"/>
        <w:rPr>
          <w:sz w:val="28"/>
          <w:lang w:val="uk-UA"/>
        </w:rPr>
      </w:pPr>
      <w:r w:rsidRPr="00B26CFD">
        <w:rPr>
          <w:sz w:val="28"/>
          <w:lang w:val="uk-UA"/>
        </w:rPr>
        <w:t>Ринки за видами валютних операцій: ф'ючерсні, опціонні, форвардні, депозитні тощо.</w:t>
      </w:r>
    </w:p>
    <w:p w:rsidR="000D5651" w:rsidRPr="00B26CFD" w:rsidRDefault="000D5651" w:rsidP="00A2009B">
      <w:pPr>
        <w:keepNext/>
        <w:numPr>
          <w:ilvl w:val="1"/>
          <w:numId w:val="3"/>
        </w:numPr>
        <w:tabs>
          <w:tab w:val="clear" w:pos="2149"/>
          <w:tab w:val="num" w:pos="720"/>
        </w:tabs>
        <w:autoSpaceDE/>
        <w:autoSpaceDN/>
        <w:adjustRightInd/>
        <w:spacing w:line="360" w:lineRule="auto"/>
        <w:ind w:left="0" w:firstLine="709"/>
        <w:jc w:val="both"/>
        <w:rPr>
          <w:sz w:val="28"/>
          <w:lang w:val="uk-UA"/>
        </w:rPr>
      </w:pPr>
      <w:r w:rsidRPr="00B26CFD">
        <w:rPr>
          <w:sz w:val="28"/>
          <w:lang w:val="uk-UA"/>
        </w:rPr>
        <w:t>Спеціальні ринки: відсоткових ставок на іноземні валюти, конверсій</w:t>
      </w:r>
      <w:r w:rsidR="009B03BC" w:rsidRPr="00B26CFD">
        <w:rPr>
          <w:sz w:val="28"/>
          <w:lang w:val="uk-UA"/>
        </w:rPr>
        <w:t>-</w:t>
      </w:r>
      <w:r w:rsidRPr="00B26CFD">
        <w:rPr>
          <w:sz w:val="28"/>
          <w:lang w:val="uk-UA"/>
        </w:rPr>
        <w:t>них операцій, окремих міжнарод</w:t>
      </w:r>
      <w:r w:rsidR="00A2009B" w:rsidRPr="00B26CFD">
        <w:rPr>
          <w:sz w:val="28"/>
          <w:lang w:val="uk-UA"/>
        </w:rPr>
        <w:t>них розрахункових одиниць тощо.</w:t>
      </w:r>
    </w:p>
    <w:p w:rsidR="000D5651" w:rsidRPr="00B26CFD" w:rsidRDefault="000D5651" w:rsidP="00A2009B">
      <w:pPr>
        <w:keepNext/>
        <w:spacing w:line="360" w:lineRule="auto"/>
        <w:ind w:firstLine="709"/>
        <w:jc w:val="both"/>
        <w:rPr>
          <w:sz w:val="28"/>
          <w:lang w:val="uk-UA"/>
        </w:rPr>
      </w:pPr>
      <w:r w:rsidRPr="00B26CFD">
        <w:rPr>
          <w:sz w:val="28"/>
          <w:lang w:val="uk-UA"/>
        </w:rPr>
        <w:t>Специфічними рисами сучасного міжнародного валютного ринку є:</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посилення інтернаціоналізації, пов'язане з поглибленням господарських зв'язків, підвищенням рівня концентрації виробництва та фінансового капіталу, створенням спільних банків тощо;</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високий динамізм здійснення валютних операцій;</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наявність уніфікованих, а в більшості випадків стандартизованих методів організації торгівлі та укладення валютних контрактів;</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підвищення в структурі обороту частки спекулятивних угод і відповідно зниження частки комерційних (клієнтських) валютних операцій;</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високий рівень технічної оснащеності фінансових установ;</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використання спеціальних телеграфних агентств (Рейтер, Блумберг), системи міжнародних розрахунків СВІФТ і створення електронної системи "Рейтер-дилінг";</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широке застосування міжнародних розрахункових одиниць;</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інтенсивний розвиток ринку євровалют;</w:t>
      </w:r>
    </w:p>
    <w:p w:rsidR="000D5651" w:rsidRPr="00B26CFD" w:rsidRDefault="000D5651" w:rsidP="00A2009B">
      <w:pPr>
        <w:keepNext/>
        <w:numPr>
          <w:ilvl w:val="2"/>
          <w:numId w:val="3"/>
        </w:numPr>
        <w:tabs>
          <w:tab w:val="clear" w:pos="2509"/>
          <w:tab w:val="num" w:pos="900"/>
        </w:tabs>
        <w:autoSpaceDE/>
        <w:autoSpaceDN/>
        <w:adjustRightInd/>
        <w:spacing w:line="360" w:lineRule="auto"/>
        <w:ind w:left="0" w:firstLine="709"/>
        <w:jc w:val="both"/>
        <w:rPr>
          <w:sz w:val="28"/>
          <w:lang w:val="uk-UA"/>
        </w:rPr>
      </w:pPr>
      <w:r w:rsidRPr="00B26CFD">
        <w:rPr>
          <w:sz w:val="28"/>
          <w:lang w:val="uk-UA"/>
        </w:rPr>
        <w:t>лібералізація національних валютних законодавств і зміцнення внутрішніх валютних ринків тощо.</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Державна політика на валютному ринку</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Стирання об'єктивних меж "коливань валютних курсів" не означає, що відпала і потреба утримувати їх на певному рівні. З крахом золотого стандарту була ліквідована основа, на якій грунтувалася свобода валютного обміну, сталість валютних курсів. Різкі коливання валютних курсів у нових умовах роблять більш ризикованими зовнішньоекономічні та кредитні операції.</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Негативний вплив несталості валютних курсів на розвиток зовнішньоекономічних зв'язків викликає необхідність втручання державних органів у сферу міжнародних валютних відносин з метою обмежити коливання валютного курсу через операції центральних банків.</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Головними методами регулювання валютного курсу є валютна інтервенція та дисконтна політика.</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Валютна інтервенція це пряме втручання центрального банку або казначейства у валютний ринок. Вона зводиться до купівлі та продажу центральним банком або казначейством інвалюти. Центральний банк купує інвалюту, коли її пропозиція надмірна та курс низький, і продає, коли курс інвалюти високий. Таким способом обмежуються коливання курсу національної валюти.</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Часто валютна інтервенція використовується для підтримання курсу валюти на зниженому рівні, для здійснення валютного демпінгу - знецінювання національної валюти з метою масового експорту товарів за цінами, нижчими за світові. Валютний демпінг слугує засобом боротьби за ринки збуту. Головною умовою тут є зниження курсу валюти у більших розмірах, ніж падіння її купівельної спроможності на внутрішньому ринку</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Здійснення валютної інтервенції можливе при умові, що неврівнова</w:t>
      </w:r>
      <w:r w:rsidR="009B03BC" w:rsidRPr="00B26CFD">
        <w:rPr>
          <w:sz w:val="28"/>
          <w:szCs w:val="28"/>
          <w:lang w:val="uk-UA"/>
        </w:rPr>
        <w:t>-</w:t>
      </w:r>
      <w:r w:rsidRPr="00B26CFD">
        <w:rPr>
          <w:sz w:val="28"/>
          <w:szCs w:val="28"/>
          <w:lang w:val="uk-UA"/>
        </w:rPr>
        <w:t>женість платіжного балансу є незначною та характеризується поступовою зміною пасивного сальдо на активне чи навпаки. Адже резерви інвалюти для інтервенції обмежені, а продаж повинен поєднуватися з купівлею.</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Суть дисконтної політики зводиться до підвищення або зниження дисконтної ставки центрального емісійного банку з метою вплинути на рух зарубіжних короткострокових капіталів. Підвищенням дисконтної ставки у періоди погіршення стану платіжного балансу центральний банк сприяє притоку капіталів із країн, де дисконтна ставка нижча, тобто поліпшенню стану платіжного балансу. Наприклад, у першій половині 80-х років адміністрація США проводила політику високих процентних . ставок та курсу долара, що сприяло притоку в країну з 1980 до 1984 р. 417 млрд. дол. США. Це викликало ланцюгову реакцію у вигляді підвищення процентних ставок у Західній Європі, тому що в цих країнах зменшилися капіталовкладення та зросло безробіття. Але цей спосіб може бути ефективним лише при умові, що рух капіталів між країнами зумовлений пошуками більш прибуткового їх розміщення, а не невпевненістю у збереженні капіталів у країні. Тому підвищення дисконтної ставки не завжди є ефективним методом. До того ж це веде до подорожчання кредиту всередині країни.</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Методами валютного регулювання, що використовуються традиційно, с девальвація та ревальвація - зниження та підвищення падаючого валютного курсу. Причинами їх є інсоляція та неврівноваженість платіжного балансу, розрив між купівельною спроможністю грошових одиниць.</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Мета девальвації - зниження офіційного курсу для стимулювання експорту та стримування імпорту. Наприклад, девальвації 30-х років були спрямовані не на стабілізацію валют, а на їх знецінювання з метою створення умов для валютного демпінгу. Після другої світової війни (1946 - 1973 pp.) було проведено понад 500 девальвацій і тільки 10 ревальвацій. Практикуються також масові девальвації валют, що були, наприклад, у 1949 році, наприкінці 60-х - початку 70-х років</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До скасування фіксованого вмісту золота у валютах девальвація супроводжувалася зниженням металічного вмісту валюти, а ревальвація - підвищенням. При умові "плаваючих" валютних курсів девальвація та ревальвація відбуваються стихійно на валютному ринку. Тому термін "девальвація" у сучасному розумінні означає також відносно тривале зниження ринкового курсу валюти. У межах ЄВС із початку 80-х років 11 разів офіційно проводилися девальвації (французького франка, італійської ліри) і ревальвації (марки Німеччини, голландського гульдена та ін.).</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У сучасних умовах девальвація та ревальвація не є засобами стабілізації валютного курсу. Вони виступають лише методом приведення офіційного курсу у тимчасову відповідність до дійсного.</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Валютний курс національної української валюти жорстко фіксувати не доцільно. Як відомо, система жорстко фіксованих курсів фактично розпалася в світі у 1973 році у зв'язку з її неефективністю у сучасних умовах.</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Що стосується пропозицій забезпечення національної валюти золотом, то тут не враховуються процеси демонетизації, які відбуваються у світі. Золотий стандарт із твердим паритетом та обов'язковим обміном на золото мав би сенс лише у тому випадку, коли б ввести його вирішила певна група країн. Однак ця політика заважала б розвитку міжнародних економічних зв'язків.</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Нині у світовій практиці існує система гнучких валютних курсів. Кожна країна має право вибирати режим валютного курсу. Вибір для української валюти курсу вільного коливання з перших років незалежної економічної полі гики був би справою дуже ризиковою. Спочатку необхідно "прив'язати" курс гривні до якої-небудь ва;поти, а ще надійніше - до "валютної корзини". Враховуючи, що зовнішня торгівля України буде орієнтуватися переважно на Європейське співтовариство, альтернативою є прив'язка гривні до євро, що у перспективі полегшило б вступ України до Європейської валютної системи. Якщо цей захід справді принесе Україні економічну вигоду, то гривня потім може бути переведена у ранг валют з великою гнучкістю.</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Величина економічно обґрунтованого курсу української валюти - гривні - може визначатися на підставі розрахунку валового внутрішнього продукту України за цінами, визначеними у гривнях та в євро. Частка від їх ділення дає валютний курс. А через існуючі у ЄВС центральні курси можна виявити курс національної валюти України у валютах більшості країн ЄС та долара США. Необхідно визначити межі коливань курсу на основі існуючих макроекономічних параметрів.</w:t>
      </w:r>
    </w:p>
    <w:p w:rsidR="00AF6B54" w:rsidRPr="00B26CFD" w:rsidRDefault="00AF6B54" w:rsidP="00A2009B">
      <w:pPr>
        <w:keepNext/>
        <w:spacing w:line="360" w:lineRule="auto"/>
        <w:ind w:firstLine="709"/>
        <w:jc w:val="both"/>
        <w:rPr>
          <w:sz w:val="28"/>
          <w:szCs w:val="28"/>
          <w:lang w:val="uk-UA"/>
        </w:rPr>
      </w:pPr>
      <w:r w:rsidRPr="00B26CFD">
        <w:rPr>
          <w:sz w:val="28"/>
          <w:szCs w:val="28"/>
          <w:lang w:val="uk-UA"/>
        </w:rPr>
        <w:t>Однак сам розрахунок валютного курсу - не найскладніша операція. Важче створити систему підтримки сталого валютного курсу. Але який би режим валютного курсу, засоби валютного регулювання не були обрані, передусім необхідна збалансованість державного бюджету, торгового та платіжного балансів при сталості цін та відносно повної, забезпеченості працею. Лише при цих умовах курс національної валюти України буде сталим, без чого неможливий нормальний економічний розвиток країни. Важливим напрямом формування реального валютного курсу гривні є зближення внутрішніх та зовнішньоторговельних цін, а також формування у нашій країні внутрішнього валютного ринку.</w:t>
      </w:r>
    </w:p>
    <w:p w:rsidR="001E5433" w:rsidRPr="00B26CFD" w:rsidRDefault="00AF6B54" w:rsidP="00A2009B">
      <w:pPr>
        <w:keepNext/>
        <w:spacing w:line="360" w:lineRule="auto"/>
        <w:ind w:firstLine="709"/>
        <w:jc w:val="center"/>
        <w:rPr>
          <w:b/>
          <w:sz w:val="28"/>
          <w:szCs w:val="28"/>
          <w:lang w:val="uk-UA"/>
        </w:rPr>
      </w:pPr>
      <w:r w:rsidRPr="00B26CFD">
        <w:rPr>
          <w:sz w:val="28"/>
          <w:lang w:val="uk-UA"/>
        </w:rPr>
        <w:br w:type="page"/>
      </w:r>
      <w:r w:rsidR="001E5433" w:rsidRPr="00B26CFD">
        <w:rPr>
          <w:b/>
          <w:sz w:val="28"/>
          <w:szCs w:val="28"/>
          <w:lang w:val="uk-UA"/>
        </w:rPr>
        <w:t>Список літератури</w:t>
      </w:r>
    </w:p>
    <w:p w:rsidR="001E5433" w:rsidRPr="00B26CFD" w:rsidRDefault="001E5433" w:rsidP="00A2009B">
      <w:pPr>
        <w:keepNext/>
        <w:spacing w:line="360" w:lineRule="auto"/>
        <w:ind w:firstLine="709"/>
        <w:jc w:val="both"/>
        <w:rPr>
          <w:sz w:val="28"/>
          <w:szCs w:val="28"/>
          <w:lang w:val="uk-UA"/>
        </w:rPr>
      </w:pP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Банковское дело [Текст] : учебник / Финансовая академия при правительстве РФ ; ред. О. И. Лаврушин. - Изд. 4-е, стер. - М. : КНОРУС, 2006. - 768 с.</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Валютне регулювання [Текст] : навчальний посібник / Ю. М. Бездітко, О. О. Мануйленко, Г. А. Стасюк. - Херсон : Олді-плюс, 2004. - 272 с.</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Віднійчук-Вірван, Л.А. Міжнародні розрахунки і валютні операції [Текст] : навчальний посібник / Л. А. Віднійчук-Вірван. - Львів : Магнолія 2006, 2007. - 214 с.</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Горін, Н.В. Державне регулювання зовнішньоекономічної діяльності [Text] : навчальний посібник / Н. В. Горін. - К. : Знання, 2008. - 330 с.</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Єпіфанов, А.О. Операції комерційних банків [Текст] : навчальний посібник / А. О. Єпіфанов, Н. Г. Маслак, І. В. Сало. - Суми : ВТД "Університетська книга", 2007. - 523 с.</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Завальна, Ж.В. Валютне право України [Текст] : навчальний посібник / Ж. В. Завальна, М. В. Старинський ; УАБС НБУ. - 2-е вид., перероб. і доп. - Суми : Університетська книга, 2006. - 384 с.</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Зовнішньоекономічна діяльність підприємств [Текст] : навчальний посібник / Мін-во освіти і науки України, Одеський держ. економ. ун-т ; ред. Ю. Г. Козак. - 2-е вид., перероб. і доп. - К. : ЦНЛ, 2006. - 792 с.</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Інфраструктура валютного ринку України [Текст] / Ю. В. Сенейко // Регіональна економіка. - 2006. - N 4. - C.199-207</w:t>
      </w:r>
    </w:p>
    <w:p w:rsidR="001E5433"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Ринок фінансових послуг [Текст] : навчально-методичний посібник / Держ. вищий навчальний заклад "УАБС НБУ", Каф-ра фінансів ; сост. В. Л. Пластун. - Суми : УАБС НБУ, 2007. - 166 с.</w:t>
      </w:r>
    </w:p>
    <w:p w:rsidR="00AA3059" w:rsidRPr="00B26CFD" w:rsidRDefault="001E5433" w:rsidP="00B26CFD">
      <w:pPr>
        <w:keepNext/>
        <w:numPr>
          <w:ilvl w:val="0"/>
          <w:numId w:val="5"/>
        </w:numPr>
        <w:autoSpaceDE/>
        <w:autoSpaceDN/>
        <w:adjustRightInd/>
        <w:spacing w:line="360" w:lineRule="auto"/>
        <w:ind w:left="0" w:firstLine="0"/>
        <w:jc w:val="both"/>
        <w:rPr>
          <w:sz w:val="28"/>
          <w:szCs w:val="28"/>
          <w:lang w:val="uk-UA"/>
        </w:rPr>
      </w:pPr>
      <w:r w:rsidRPr="00B26CFD">
        <w:rPr>
          <w:sz w:val="28"/>
          <w:szCs w:val="28"/>
          <w:lang w:val="uk-UA"/>
        </w:rPr>
        <w:t>Скрипник, А. Вплив валютно-курсової політики на інфляційні процеси в Україні [Текст] / А. Скрипник, Г. Варваренко // Вісник Національного банку України. - 2007. - N 1. - C.40-48</w:t>
      </w:r>
      <w:bookmarkStart w:id="0" w:name="_GoBack"/>
      <w:bookmarkEnd w:id="0"/>
    </w:p>
    <w:sectPr w:rsidR="00AA3059" w:rsidRPr="00B26CFD" w:rsidSect="00A2009B">
      <w:footerReference w:type="even" r:id="rId7"/>
      <w:pgSz w:w="11909" w:h="16834" w:code="9"/>
      <w:pgMar w:top="1134" w:right="851" w:bottom="1134"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981" w:rsidRDefault="001C4981">
      <w:r>
        <w:separator/>
      </w:r>
    </w:p>
  </w:endnote>
  <w:endnote w:type="continuationSeparator" w:id="0">
    <w:p w:rsidR="001C4981" w:rsidRDefault="001C4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D65" w:rsidRDefault="00F57D65" w:rsidP="00B64A51">
    <w:pPr>
      <w:pStyle w:val="a9"/>
      <w:framePr w:wrap="around" w:vAnchor="text" w:hAnchor="margin" w:xAlign="right" w:y="1"/>
      <w:rPr>
        <w:rStyle w:val="ab"/>
      </w:rPr>
    </w:pPr>
  </w:p>
  <w:p w:rsidR="00F57D65" w:rsidRDefault="00F57D65" w:rsidP="00B64A5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981" w:rsidRDefault="001C4981">
      <w:r>
        <w:separator/>
      </w:r>
    </w:p>
  </w:footnote>
  <w:footnote w:type="continuationSeparator" w:id="0">
    <w:p w:rsidR="001C4981" w:rsidRDefault="001C4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02952"/>
    <w:multiLevelType w:val="hybridMultilevel"/>
    <w:tmpl w:val="E3C45B0C"/>
    <w:lvl w:ilvl="0" w:tplc="CFF0CD8A">
      <w:numFmt w:val="bullet"/>
      <w:lvlText w:val="–"/>
      <w:lvlJc w:val="left"/>
      <w:pPr>
        <w:tabs>
          <w:tab w:val="num" w:pos="709"/>
        </w:tabs>
        <w:ind w:left="709"/>
      </w:pPr>
      <w:rPr>
        <w:rFonts w:ascii="Times New Roman" w:hAnsi="Times New Roman" w:hint="default"/>
      </w:rPr>
    </w:lvl>
    <w:lvl w:ilvl="1" w:tplc="0419000F">
      <w:start w:val="1"/>
      <w:numFmt w:val="decimal"/>
      <w:lvlText w:val="%2."/>
      <w:lvlJc w:val="left"/>
      <w:pPr>
        <w:tabs>
          <w:tab w:val="num" w:pos="2149"/>
        </w:tabs>
        <w:ind w:left="2149" w:hanging="360"/>
      </w:pPr>
      <w:rPr>
        <w:rFonts w:cs="Times New Roman"/>
      </w:rPr>
    </w:lvl>
    <w:lvl w:ilvl="2" w:tplc="CFF0CD8A">
      <w:numFmt w:val="bullet"/>
      <w:lvlText w:val="–"/>
      <w:lvlJc w:val="left"/>
      <w:pPr>
        <w:tabs>
          <w:tab w:val="num" w:pos="2509"/>
        </w:tabs>
        <w:ind w:left="2509"/>
      </w:pPr>
      <w:rPr>
        <w:rFonts w:ascii="Times New Roman" w:hAnsi="Times New Roman"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256C6901"/>
    <w:multiLevelType w:val="hybridMultilevel"/>
    <w:tmpl w:val="301618C6"/>
    <w:lvl w:ilvl="0" w:tplc="40349024">
      <w:start w:val="1"/>
      <w:numFmt w:val="decimal"/>
      <w:lvlText w:val="%1."/>
      <w:lvlJc w:val="left"/>
      <w:pPr>
        <w:tabs>
          <w:tab w:val="num" w:pos="1060"/>
        </w:tabs>
        <w:ind w:left="1060" w:hanging="360"/>
      </w:pPr>
      <w:rPr>
        <w:rFonts w:cs="Times New Roman" w:hint="default"/>
      </w:rPr>
    </w:lvl>
    <w:lvl w:ilvl="1" w:tplc="04190019" w:tentative="1">
      <w:start w:val="1"/>
      <w:numFmt w:val="lowerLetter"/>
      <w:lvlText w:val="%2."/>
      <w:lvlJc w:val="left"/>
      <w:pPr>
        <w:tabs>
          <w:tab w:val="num" w:pos="1780"/>
        </w:tabs>
        <w:ind w:left="1780" w:hanging="360"/>
      </w:pPr>
      <w:rPr>
        <w:rFonts w:cs="Times New Roman"/>
      </w:rPr>
    </w:lvl>
    <w:lvl w:ilvl="2" w:tplc="0419001B" w:tentative="1">
      <w:start w:val="1"/>
      <w:numFmt w:val="lowerRoman"/>
      <w:lvlText w:val="%3."/>
      <w:lvlJc w:val="right"/>
      <w:pPr>
        <w:tabs>
          <w:tab w:val="num" w:pos="2500"/>
        </w:tabs>
        <w:ind w:left="2500" w:hanging="180"/>
      </w:pPr>
      <w:rPr>
        <w:rFonts w:cs="Times New Roman"/>
      </w:rPr>
    </w:lvl>
    <w:lvl w:ilvl="3" w:tplc="0419000F" w:tentative="1">
      <w:start w:val="1"/>
      <w:numFmt w:val="decimal"/>
      <w:lvlText w:val="%4."/>
      <w:lvlJc w:val="left"/>
      <w:pPr>
        <w:tabs>
          <w:tab w:val="num" w:pos="3220"/>
        </w:tabs>
        <w:ind w:left="3220" w:hanging="360"/>
      </w:pPr>
      <w:rPr>
        <w:rFonts w:cs="Times New Roman"/>
      </w:rPr>
    </w:lvl>
    <w:lvl w:ilvl="4" w:tplc="04190019" w:tentative="1">
      <w:start w:val="1"/>
      <w:numFmt w:val="lowerLetter"/>
      <w:lvlText w:val="%5."/>
      <w:lvlJc w:val="left"/>
      <w:pPr>
        <w:tabs>
          <w:tab w:val="num" w:pos="3940"/>
        </w:tabs>
        <w:ind w:left="3940" w:hanging="360"/>
      </w:pPr>
      <w:rPr>
        <w:rFonts w:cs="Times New Roman"/>
      </w:rPr>
    </w:lvl>
    <w:lvl w:ilvl="5" w:tplc="0419001B" w:tentative="1">
      <w:start w:val="1"/>
      <w:numFmt w:val="lowerRoman"/>
      <w:lvlText w:val="%6."/>
      <w:lvlJc w:val="right"/>
      <w:pPr>
        <w:tabs>
          <w:tab w:val="num" w:pos="4660"/>
        </w:tabs>
        <w:ind w:left="4660" w:hanging="180"/>
      </w:pPr>
      <w:rPr>
        <w:rFonts w:cs="Times New Roman"/>
      </w:rPr>
    </w:lvl>
    <w:lvl w:ilvl="6" w:tplc="0419000F" w:tentative="1">
      <w:start w:val="1"/>
      <w:numFmt w:val="decimal"/>
      <w:lvlText w:val="%7."/>
      <w:lvlJc w:val="left"/>
      <w:pPr>
        <w:tabs>
          <w:tab w:val="num" w:pos="5380"/>
        </w:tabs>
        <w:ind w:left="5380" w:hanging="360"/>
      </w:pPr>
      <w:rPr>
        <w:rFonts w:cs="Times New Roman"/>
      </w:rPr>
    </w:lvl>
    <w:lvl w:ilvl="7" w:tplc="04190019" w:tentative="1">
      <w:start w:val="1"/>
      <w:numFmt w:val="lowerLetter"/>
      <w:lvlText w:val="%8."/>
      <w:lvlJc w:val="left"/>
      <w:pPr>
        <w:tabs>
          <w:tab w:val="num" w:pos="6100"/>
        </w:tabs>
        <w:ind w:left="6100" w:hanging="360"/>
      </w:pPr>
      <w:rPr>
        <w:rFonts w:cs="Times New Roman"/>
      </w:rPr>
    </w:lvl>
    <w:lvl w:ilvl="8" w:tplc="0419001B" w:tentative="1">
      <w:start w:val="1"/>
      <w:numFmt w:val="lowerRoman"/>
      <w:lvlText w:val="%9."/>
      <w:lvlJc w:val="right"/>
      <w:pPr>
        <w:tabs>
          <w:tab w:val="num" w:pos="6820"/>
        </w:tabs>
        <w:ind w:left="6820" w:hanging="180"/>
      </w:pPr>
      <w:rPr>
        <w:rFonts w:cs="Times New Roman"/>
      </w:rPr>
    </w:lvl>
  </w:abstractNum>
  <w:abstractNum w:abstractNumId="2">
    <w:nsid w:val="5DA13F9E"/>
    <w:multiLevelType w:val="hybridMultilevel"/>
    <w:tmpl w:val="8CECC1DE"/>
    <w:lvl w:ilvl="0" w:tplc="9EB63B80">
      <w:numFmt w:val="bullet"/>
      <w:lvlText w:val=""/>
      <w:lvlJc w:val="left"/>
      <w:pPr>
        <w:tabs>
          <w:tab w:val="num" w:pos="1117"/>
        </w:tabs>
        <w:ind w:left="1117" w:hanging="397"/>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1484B72"/>
    <w:multiLevelType w:val="hybridMultilevel"/>
    <w:tmpl w:val="1172C6A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4C758E6"/>
    <w:multiLevelType w:val="hybridMultilevel"/>
    <w:tmpl w:val="F63886C8"/>
    <w:lvl w:ilvl="0" w:tplc="9EB63B80">
      <w:numFmt w:val="bullet"/>
      <w:lvlText w:val=""/>
      <w:lvlJc w:val="left"/>
      <w:pPr>
        <w:tabs>
          <w:tab w:val="num" w:pos="1117"/>
        </w:tabs>
        <w:ind w:left="1117" w:hanging="397"/>
      </w:pPr>
      <w:rPr>
        <w:rFonts w:ascii="Symbol" w:eastAsia="Times New Roman" w:hAnsi="Symbol" w:hint="default"/>
      </w:rPr>
    </w:lvl>
    <w:lvl w:ilvl="1" w:tplc="0419000F">
      <w:start w:val="1"/>
      <w:numFmt w:val="decimal"/>
      <w:lvlText w:val="%2."/>
      <w:lvlJc w:val="left"/>
      <w:pPr>
        <w:tabs>
          <w:tab w:val="num" w:pos="2160"/>
        </w:tabs>
        <w:ind w:left="2160" w:hanging="360"/>
      </w:pPr>
      <w:rPr>
        <w:rFonts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43F4"/>
    <w:rsid w:val="000551DD"/>
    <w:rsid w:val="00060037"/>
    <w:rsid w:val="000A6240"/>
    <w:rsid w:val="000D5651"/>
    <w:rsid w:val="000E246E"/>
    <w:rsid w:val="001043F4"/>
    <w:rsid w:val="001C4981"/>
    <w:rsid w:val="001E5433"/>
    <w:rsid w:val="002265FB"/>
    <w:rsid w:val="002C1A5D"/>
    <w:rsid w:val="002D2FDD"/>
    <w:rsid w:val="00393476"/>
    <w:rsid w:val="003D35D9"/>
    <w:rsid w:val="005362FA"/>
    <w:rsid w:val="006A20F0"/>
    <w:rsid w:val="00790AF6"/>
    <w:rsid w:val="007B493A"/>
    <w:rsid w:val="0081163A"/>
    <w:rsid w:val="00871B83"/>
    <w:rsid w:val="00986456"/>
    <w:rsid w:val="009B03BC"/>
    <w:rsid w:val="009F0AE7"/>
    <w:rsid w:val="00A2009B"/>
    <w:rsid w:val="00AA3059"/>
    <w:rsid w:val="00AF6B54"/>
    <w:rsid w:val="00B26CFD"/>
    <w:rsid w:val="00B64A51"/>
    <w:rsid w:val="00BD3159"/>
    <w:rsid w:val="00C30337"/>
    <w:rsid w:val="00F31950"/>
    <w:rsid w:val="00F57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E3F0891-3FCA-4E65-A444-663CB96B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A51"/>
    <w:pPr>
      <w:widowControl w:val="0"/>
      <w:autoSpaceDE w:val="0"/>
      <w:autoSpaceDN w:val="0"/>
      <w:adjustRightInd w:val="0"/>
    </w:pPr>
  </w:style>
  <w:style w:type="paragraph" w:styleId="1">
    <w:name w:val="heading 1"/>
    <w:basedOn w:val="a"/>
    <w:next w:val="a"/>
    <w:link w:val="10"/>
    <w:uiPriority w:val="99"/>
    <w:qFormat/>
    <w:rsid w:val="00B64A51"/>
    <w:pPr>
      <w:keepNext/>
      <w:widowControl/>
      <w:overflowPunct w:val="0"/>
      <w:spacing w:before="240" w:after="60"/>
      <w:jc w:val="center"/>
      <w:outlineLvl w:val="0"/>
    </w:pPr>
    <w:rPr>
      <w:rFonts w:ascii="Arial" w:hAnsi="Arial"/>
      <w:b/>
      <w:kern w:val="28"/>
      <w:sz w:val="36"/>
      <w:lang w:val="uk-UA"/>
    </w:rPr>
  </w:style>
  <w:style w:type="paragraph" w:styleId="2">
    <w:name w:val="heading 2"/>
    <w:basedOn w:val="a"/>
    <w:next w:val="a"/>
    <w:link w:val="20"/>
    <w:uiPriority w:val="99"/>
    <w:qFormat/>
    <w:rsid w:val="00B64A51"/>
    <w:pPr>
      <w:keepNext/>
      <w:widowControl/>
      <w:overflowPunct w:val="0"/>
      <w:spacing w:before="240" w:after="60"/>
      <w:jc w:val="center"/>
      <w:outlineLvl w:val="1"/>
    </w:pPr>
    <w:rPr>
      <w:rFonts w:ascii="Arial" w:hAnsi="Arial"/>
      <w:b/>
      <w:sz w:val="28"/>
      <w:lang w:val="uk-UA"/>
    </w:rPr>
  </w:style>
  <w:style w:type="paragraph" w:styleId="5">
    <w:name w:val="heading 5"/>
    <w:basedOn w:val="a"/>
    <w:next w:val="a"/>
    <w:link w:val="50"/>
    <w:uiPriority w:val="99"/>
    <w:qFormat/>
    <w:rsid w:val="00B64A51"/>
    <w:pPr>
      <w:keepNext/>
      <w:widowControl/>
      <w:autoSpaceDE/>
      <w:autoSpaceDN/>
      <w:adjustRightInd/>
      <w:jc w:val="center"/>
      <w:outlineLvl w:val="4"/>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Title"/>
    <w:basedOn w:val="a"/>
    <w:link w:val="a4"/>
    <w:uiPriority w:val="99"/>
    <w:qFormat/>
    <w:rsid w:val="00B64A51"/>
    <w:pPr>
      <w:widowControl/>
      <w:autoSpaceDE/>
      <w:autoSpaceDN/>
      <w:adjustRightInd/>
      <w:jc w:val="center"/>
    </w:pPr>
    <w:rPr>
      <w:sz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rsid w:val="00B64A51"/>
    <w:pPr>
      <w:widowControl/>
      <w:autoSpaceDE/>
      <w:autoSpaceDN/>
      <w:adjustRightInd/>
      <w:jc w:val="center"/>
    </w:pPr>
    <w:rPr>
      <w:sz w:val="28"/>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Body Text Indent"/>
    <w:basedOn w:val="a"/>
    <w:link w:val="a8"/>
    <w:uiPriority w:val="99"/>
    <w:rsid w:val="00B64A51"/>
    <w:pPr>
      <w:ind w:firstLine="851"/>
      <w:jc w:val="both"/>
    </w:pPr>
    <w:rPr>
      <w:sz w:val="28"/>
      <w:lang w:val="uk-UA"/>
    </w:rPr>
  </w:style>
  <w:style w:type="character" w:customStyle="1" w:styleId="a8">
    <w:name w:val="Основной текст с отступом Знак"/>
    <w:link w:val="a7"/>
    <w:uiPriority w:val="99"/>
    <w:semiHidden/>
    <w:rPr>
      <w:sz w:val="20"/>
      <w:szCs w:val="20"/>
    </w:rPr>
  </w:style>
  <w:style w:type="paragraph" w:styleId="a9">
    <w:name w:val="footer"/>
    <w:basedOn w:val="a"/>
    <w:link w:val="aa"/>
    <w:uiPriority w:val="99"/>
    <w:rsid w:val="00B64A51"/>
    <w:pPr>
      <w:tabs>
        <w:tab w:val="center" w:pos="4677"/>
        <w:tab w:val="right" w:pos="9355"/>
      </w:tabs>
    </w:pPr>
  </w:style>
  <w:style w:type="character" w:customStyle="1" w:styleId="aa">
    <w:name w:val="Нижний колонтитул Знак"/>
    <w:link w:val="a9"/>
    <w:uiPriority w:val="99"/>
    <w:semiHidden/>
    <w:rPr>
      <w:sz w:val="20"/>
      <w:szCs w:val="20"/>
    </w:rPr>
  </w:style>
  <w:style w:type="character" w:styleId="ab">
    <w:name w:val="page number"/>
    <w:uiPriority w:val="99"/>
    <w:rsid w:val="00B64A51"/>
    <w:rPr>
      <w:rFonts w:cs="Times New Roman"/>
    </w:rPr>
  </w:style>
  <w:style w:type="paragraph" w:styleId="ac">
    <w:name w:val="header"/>
    <w:basedOn w:val="a"/>
    <w:link w:val="ad"/>
    <w:uiPriority w:val="99"/>
    <w:rsid w:val="00A2009B"/>
    <w:pPr>
      <w:tabs>
        <w:tab w:val="center" w:pos="4677"/>
        <w:tab w:val="right" w:pos="9355"/>
      </w:tabs>
    </w:pPr>
  </w:style>
  <w:style w:type="character" w:customStyle="1" w:styleId="ad">
    <w:name w:val="Верхний колонтитул Знак"/>
    <w:link w:val="ac"/>
    <w:uiPriority w:val="99"/>
    <w:locked/>
    <w:rsid w:val="00A2009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2621</Words>
  <Characters>14942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Национальный банк Украины</vt:lpstr>
    </vt:vector>
  </TitlesOfParts>
  <Company>Home</Company>
  <LinksUpToDate>false</LinksUpToDate>
  <CharactersWithSpaces>17528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 Украины</dc:title>
  <dc:subject/>
  <dc:creator>home</dc:creator>
  <cp:keywords/>
  <dc:description/>
  <cp:lastModifiedBy>admin</cp:lastModifiedBy>
  <cp:revision>2</cp:revision>
  <cp:lastPrinted>2005-12-07T22:22:00Z</cp:lastPrinted>
  <dcterms:created xsi:type="dcterms:W3CDTF">2014-02-24T01:25:00Z</dcterms:created>
  <dcterms:modified xsi:type="dcterms:W3CDTF">2014-02-24T01:25:00Z</dcterms:modified>
</cp:coreProperties>
</file>