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3A" w:rsidRPr="009E6C3A" w:rsidRDefault="009E6C3A" w:rsidP="009E6C3A">
      <w:pPr>
        <w:spacing w:before="120"/>
        <w:jc w:val="center"/>
        <w:rPr>
          <w:b/>
          <w:bCs/>
          <w:sz w:val="32"/>
          <w:szCs w:val="32"/>
        </w:rPr>
      </w:pPr>
      <w:r w:rsidRPr="009E6C3A">
        <w:rPr>
          <w:b/>
          <w:bCs/>
          <w:sz w:val="32"/>
          <w:szCs w:val="32"/>
        </w:rPr>
        <w:t xml:space="preserve">Экологические последствия техногенеза </w:t>
      </w:r>
    </w:p>
    <w:p w:rsidR="00761CDF" w:rsidRPr="00B67360" w:rsidRDefault="00761CDF" w:rsidP="00761CDF">
      <w:pPr>
        <w:spacing w:before="120"/>
        <w:ind w:firstLine="567"/>
        <w:jc w:val="both"/>
        <w:rPr>
          <w:sz w:val="28"/>
          <w:szCs w:val="28"/>
        </w:rPr>
      </w:pPr>
      <w:r w:rsidRPr="00B67360">
        <w:rPr>
          <w:sz w:val="28"/>
          <w:szCs w:val="28"/>
        </w:rPr>
        <w:t xml:space="preserve">В.Ф.Попов, О.Н.Толстихин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Анализ последствий развития техногенных процессов весьма сложен по той причине, что собственно техногенное начало может (и это не исключение, а скорее правило) сопровождаться в цепочкой последующих природных событий. Иначе говоря первичные техногенные воздействия могут вызвать к жизни процессы, которые правомерно определить как природно-техногенные или техногенно-природные.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Сложность их прогнозирования состоит в том, что эти природно-техногенные процессы могут быть существенно сдвинуты во времени, а нередко и в пространстве по отношению к воздействующему источнику техногенеза. Поясним сказанное следующим примером.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Уничтожение лесной растительности на широкой площади, вне зависимости от причины, приводит, в условиях криолитозоны, к последовательному развитию следующих событий: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увеличению значения прямой солнечной радиации, достигающей поверхности почвы за счет отсутствия рассеивающего фактора - крон деревьев;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усилению турбулентного воздушного обмена над поверхностью Земли;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перераспределению мощности и увеличению плотности снежного покрова, более плотного и менее равномерного по толщине, нежели под пологом леса;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усилению испарения с поверхности почвы и транспирации - травяного покрова, поскольку транспирация с поверхности крон деревьев и сохранение под пологом леса относительно более высокой влажности воздуха оказываются утрачены;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снижению температуры почвенного профиля, как реакция на изменение параметров снежного покрова, увеличение турбулентного воздушного обмена и смещение уровня транспирации влаги с крон деревьев на почву;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>изменению сроков и увеличению продолжительности вегетационного периода.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Приведенный пример однозначно иллюстрируют многообразие и сложность взаимосвязей техногенно-природных процессов. Их выявление, качественная и тем более количественная оценка темпов и последствий развития являются важнейшей и сложнейшей задачей изучения и прогнозирования функционирования ПТГС.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Надобно заметить, что в общей экологии широко используются представления о сукцессионных или ландшафтно-генетических рядах, отражающих результаты приспособляемости растительных ассоциаций к изменяющимся условиям произрастания растений. По аналогии с сукцессионными рядами, соответствующие образования техногенной природы могут быть обозначены техногенетическими рядами, т.е. рядами природно-техногенных событий, каждое из которых возникает и развивается как следствие возникновения и развития события предыдущего. Тогда как в начале этого ряда непременно находится техногенный процесс, который может быть определен как первичный. В частности, техногенетические ряды процессов, загрязнения атмосферного воздуха, могут быть развернуты для почв, поверхностных вод, пород зоны аэрации и грунтовых вод и, в интегрированном виде, проявлены в здоровье человека, перестройки его адаптивного механизма и приспособления его организма к загрязненному воздуху, воде и продуктам питания.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Анализ всего многообразия последствий техногенеза, вызванных использованием природных ресурсов, позволяет наметить следующие взаимосвязанные ряды: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металлогенический, проявляющийся в изъятии из недр конце-нтрированных скоплений специфических (полезных) компонентов, последовательного их разубоживания и рассеивания на поверхности;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геоморфологический, в т.ч. - геокриологический, охватывающий совокупность рельефообразующих процессов, начиная от прямого переустройства поверхности Земли, например при открытой добыче полезных ископаемых или строительстве и кончая изменением баланса эрозионно-аккумулятивных процессов на склонах, в долинах и дельтах рек, на морских побережьях;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гидрогеологический, охватывающий все изменения естественного режима подземных вод и связанные с этими обстоятельствами процессы осушения, подтопления, выщелачивания и т.п.;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гидрологический, проявляющийся в изменении режима речного стока и формирования русловых процессов;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инженерно-геологический, проявляющийся в изменении инженерно-геологических условий строительства и эксплуатации зданий и сооружений в результате накопления техногенно-образованных и техногенно-переотложенных пород или техногенного изменения свойств пород;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геохимический, выражающийся в изменении геохимического баланса в зоне взаимодействия ядра ПТГ с природной средой либо в результате воздействия на естественный водно-солевой баланс (например при ирригации), либо в результате рассеивания или сброса в природные объекты химически активных веществ и образование полей геохимически чуждых данным ландшафтам;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геофизический, охватывающий изменения свойств геофизических полей, в том числе - теплового, электромагнитного, гравитационного, радиационного. Сюда следует объединить и локальные тепловые аномалии, возникающие в основании зданий и крупных городов и изменение величины альбедо поверхности континентов вследствие изменения структуры подстилающей поверхности.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>биологический, охватывающий антропогенные ряды сукцессии, интегрирующие совокупность всех изменений, происходящих в атмосфере, гидросфере или литогенной основе ландшафтной сферы, биоценозах, вплоть до здоровья жителей.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Анализ и прогноз изменения природной среды в ПТГС всегда имеет конечной целью разработку конкретных природоохранных мероприятий, направленных к достижению и (или) сохранению определенного качества природной среды. </w:t>
      </w:r>
    </w:p>
    <w:p w:rsidR="009E6C3A" w:rsidRPr="009E6C3A" w:rsidRDefault="009E6C3A" w:rsidP="009E6C3A">
      <w:pPr>
        <w:spacing w:before="120"/>
        <w:jc w:val="center"/>
        <w:rPr>
          <w:b/>
          <w:bCs/>
          <w:sz w:val="28"/>
          <w:szCs w:val="28"/>
        </w:rPr>
      </w:pPr>
      <w:r w:rsidRPr="009E6C3A">
        <w:rPr>
          <w:b/>
          <w:bCs/>
          <w:sz w:val="28"/>
          <w:szCs w:val="28"/>
        </w:rPr>
        <w:t xml:space="preserve">Еще раз о качестве природной среды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Риторический вопрос "Что такое хорошо и что такое плохо?" приобретает особое звучание, когда он обращен к состоянию природных объектов, качеству природной среды. В простейшем случае например для определения качества воздуха или воды, достаточно произвести необходимый химический анализ, оценить соотношение основных компонентов, количество микрокомпонентов, содержание пыли и взвесей, сравнить полученные данные со стандартами или гигиеническими нормативами, выработанными медицинской практикой, а для рыбохозяйственных водоемов - ихтиологами. Сложнее оценить состояние ландшафта в целом. Ибо в конечном итоге его экологическое благополучие определяется не только состоянием отдельных природных объектов, но территорий и свойственных им природно-территориальных комплексов. Да и потребности к состоянию природной среды существенно различны у растений, животных и даже различных категорий людей, например горожан и селян.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Единым критерием оценки состояния природной среды, точнее - природной основы ПТГС является биологическая продуктивность: способность ландшафта к воспроизводству биомассы, прежде всего - произрастанию и развитию растительного покрова. Не задерживая внимания на количественной стороне вопроса, отметим, что показатель этот интегральный но не универсальный. Действительно, любые изменения в ландшафте неизбежно скажутся на величине биологической продуктивности входящих в него фитоценозов. Однако, увеличение биологической продуктивности (урожайности) сельскохозяйственных культур за счет чрезмерного внесения удобрений и использования иных стимуляторов роста растений может привести к тому, что продукция полей и огородов окажется непригодной к использованию даже на откорм скота.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Аналогичная ситуация может возникнуть и в лесных экосистемах. Например, смена кедровых или лиственничных лесов березовыми или смешанными лиственными лесами может привести к абсолютному росту биологической продуктивности, однако хозяйственная и экологическая ценность лесных массивов при этом понизится.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Приведенные примеры не отвергают биологическую продуктивность в качестве интегрального показателя качества природной среды, а свидетельствуют лишь об определенных граничных условиях применения этого показателя. В частности, правомерно использование сравнительных значений биологической продуктивности, отражающих отношение продуктивности исследуемого ландшафта к аналогичному ландшафту в той же климатической зоне, или сопоставление продуктивности, ландшафтов затронутых и незатронутых пока процессами техногенеза. Последний прием широко применяется для оценки результатов мелиоративных работ, в т.ч. лесной мелиорации, а также рекультивации земель, нарушенных горными разработками или иным видом хозяйственной деятельности.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Отсюда мы приходим к возможности планирования и регулирования качества природной среды, разработки и осуществления мероприятий по формированию среды определенного назначения и заранее заданных свойств. Основа такого планирования опирается на изучении зональных, региональных и локальных условий прихода влаги и солнечной радиации и технико-экономических возможностей рекультивации и (или) мелиорации земель. Результаты практической деятельности в этом направлении, в частности - рекультивации в долинах рек земель, нарушенных горными работами (например дражными разработками россыпей), на крайнем Северо-Востоке СССР оказались чрезвычайно плодотворными и позволили начать формирование устойчивой местной кормовой базы молочнотоварного животноводства. </w:t>
      </w:r>
    </w:p>
    <w:p w:rsidR="009E6C3A" w:rsidRPr="00B67360" w:rsidRDefault="009E6C3A" w:rsidP="009E6C3A">
      <w:pPr>
        <w:spacing w:before="120"/>
        <w:ind w:firstLine="567"/>
        <w:jc w:val="both"/>
      </w:pPr>
      <w:r w:rsidRPr="00B67360">
        <w:t xml:space="preserve">Однако при самых благоприятных возможностях планирования и реализации заданного качества природной среды, постоянно сохраняется необходимость учитывать также неизбежные, пусть временные (история подтверждает, что нет ничего постояннее временных решений и сооружений) отрицательные последствия техногенеза. В частности, нельзя избежать разрушения земель при открытых горных разработках, их затопления при создании водохранилищ и т.п. Хотя можно предельно сократить площади нарушенных земель и сроки от их разрушения (изъятия) до восстановления и передачи землепользователям по прямому назначению.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C3A"/>
    <w:rsid w:val="000260B7"/>
    <w:rsid w:val="000A78A6"/>
    <w:rsid w:val="00616072"/>
    <w:rsid w:val="00761CDF"/>
    <w:rsid w:val="008B35EE"/>
    <w:rsid w:val="00934A9F"/>
    <w:rsid w:val="009E6C3A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1B538F-70A5-4207-86E3-F0F2743E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3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E6C3A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6014</Words>
  <Characters>3428</Characters>
  <Application>Microsoft Office Word</Application>
  <DocSecurity>0</DocSecurity>
  <Lines>28</Lines>
  <Paragraphs>18</Paragraphs>
  <ScaleCrop>false</ScaleCrop>
  <Company>Home</Company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последствия техногенеза </dc:title>
  <dc:subject/>
  <dc:creator>User</dc:creator>
  <cp:keywords/>
  <dc:description/>
  <cp:lastModifiedBy>admin</cp:lastModifiedBy>
  <cp:revision>2</cp:revision>
  <dcterms:created xsi:type="dcterms:W3CDTF">2014-01-25T10:08:00Z</dcterms:created>
  <dcterms:modified xsi:type="dcterms:W3CDTF">2014-01-25T10:08:00Z</dcterms:modified>
</cp:coreProperties>
</file>