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7C7" w:rsidRDefault="00956306">
      <w:pPr>
        <w:pStyle w:val="1"/>
        <w:jc w:val="center"/>
      </w:pPr>
      <w:r>
        <w:t>Сельское расселение муниципального образования: экологические, экистические вызовы XXI века (на примере Новооскольского района Белгородской области)</w:t>
      </w:r>
    </w:p>
    <w:p w:rsidR="00FB67C7" w:rsidRPr="00956306" w:rsidRDefault="00956306">
      <w:pPr>
        <w:pStyle w:val="a3"/>
      </w:pPr>
      <w:r>
        <w:t>Литовченко Ю.В.</w:t>
      </w:r>
    </w:p>
    <w:p w:rsidR="00FB67C7" w:rsidRDefault="00956306">
      <w:pPr>
        <w:pStyle w:val="a3"/>
      </w:pPr>
      <w:r>
        <w:t>Изучение современного состояния и проблем развития сельских регионов является одной из наиболее актуальных на сегодняшний день проблем в российского и зарубежного общества. Сельская местность продолжает играть огромную роль в жизни общества, однако постоянно меняющиеся условия экономики остро обозначили перед регионами России проблему социально-экономического и экологического развития сельских территорий [1].</w:t>
      </w:r>
    </w:p>
    <w:p w:rsidR="00FB67C7" w:rsidRDefault="00956306">
      <w:pPr>
        <w:pStyle w:val="a3"/>
      </w:pPr>
      <w:r>
        <w:t>Устойчивое социально-экономическое развитие сельских муниципальных образований, решение социальных проблем населения является условием сохранения сельских поселений. Особое значение в определении развития сельских территорий придается характеру расселения. В расселении сливаются воедино экономические и социальные, материальные и духовные аспекты жизнедеятельности человеческого общества. Поэтому актуальность темы исследования обусловлена необходимостью изучения особенностей сельского расселения и совершенствования социально - экономического и экологического развития сельских муниципальных образований.</w:t>
      </w:r>
    </w:p>
    <w:p w:rsidR="00FB67C7" w:rsidRDefault="00956306">
      <w:pPr>
        <w:pStyle w:val="a3"/>
      </w:pPr>
      <w:r>
        <w:t>Объектом исследования выбрана сельская местность Новооскольского района, предметом - являются условия и факторы, определяющие характер сельского расселения Новооскольского района.</w:t>
      </w:r>
    </w:p>
    <w:p w:rsidR="00FB67C7" w:rsidRDefault="00956306">
      <w:pPr>
        <w:pStyle w:val="a3"/>
      </w:pPr>
      <w:r>
        <w:t>Цель исследования - выявление демографических, социальноэкономических, экологических проблем сельского расселения и тенденций его развития в отдельно взятом муниципальном образовании.</w:t>
      </w:r>
    </w:p>
    <w:p w:rsidR="00FB67C7" w:rsidRDefault="00956306">
      <w:pPr>
        <w:pStyle w:val="a3"/>
      </w:pPr>
      <w:r>
        <w:t>Новооскольский район - один из центральных муниципальных образований (МО) Белгородской области, имеющий выгодное экономикогеографическое положение, с числом жителей в 42,5 тыс. человек (около 3% населения области). Район слабо урбанизирован - доля сельского населения составляет 55%. - 22,8 тыс. человек, в то время как в области в сельской местности проживает 36% населения.</w:t>
      </w:r>
    </w:p>
    <w:p w:rsidR="00FB67C7" w:rsidRDefault="00956306">
      <w:pPr>
        <w:pStyle w:val="a3"/>
      </w:pPr>
      <w:r>
        <w:t>Наши исследования показали, что для Новооскольского района характерен ряд вызовов, создающих риски для динамичного социальноэкономического развития.</w:t>
      </w:r>
    </w:p>
    <w:p w:rsidR="00FB67C7" w:rsidRDefault="00956306">
      <w:pPr>
        <w:pStyle w:val="a3"/>
      </w:pPr>
      <w:r>
        <w:t>Первый серьезный вызов - демографический.</w:t>
      </w:r>
    </w:p>
    <w:p w:rsidR="00FB67C7" w:rsidRDefault="00956306">
      <w:pPr>
        <w:pStyle w:val="a3"/>
      </w:pPr>
      <w:r>
        <w:t>Процессы депопуляции коснулись его уже давно, несмотря на приток вынужденных переселенцев в 90-е годы ХХ столетия.</w:t>
      </w:r>
    </w:p>
    <w:p w:rsidR="00FB67C7" w:rsidRDefault="00956306">
      <w:pPr>
        <w:pStyle w:val="a3"/>
      </w:pPr>
      <w:r>
        <w:t>Анализ численности жителей по сельским поселениям показал, что сокращение численности населения наблюдается во всех сельских поселениях района - см рис. 1.</w:t>
      </w:r>
    </w:p>
    <w:p w:rsidR="00FB67C7" w:rsidRDefault="00086B19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57pt;height:163.5pt">
            <v:imagedata r:id="rId4" o:title=""/>
          </v:shape>
        </w:pict>
      </w:r>
    </w:p>
    <w:p w:rsidR="00FB67C7" w:rsidRDefault="00956306">
      <w:pPr>
        <w:pStyle w:val="a3"/>
      </w:pPr>
      <w:r>
        <w:t>Рис. 1. Изменение численности населения Новооскольского района.</w:t>
      </w:r>
    </w:p>
    <w:p w:rsidR="00FB67C7" w:rsidRDefault="00956306">
      <w:pPr>
        <w:pStyle w:val="a3"/>
      </w:pPr>
      <w:r>
        <w:t>Это связано с такими процессами как высокая смертность трудоспособного населения, миграция населения в город, отрицательные темпы среднегодового прироста в районе и др.</w:t>
      </w:r>
    </w:p>
    <w:p w:rsidR="00FB67C7" w:rsidRDefault="00956306">
      <w:pPr>
        <w:pStyle w:val="a3"/>
      </w:pPr>
      <w:r>
        <w:t>Второй вызов - экистический, т.е. поселенческий.</w:t>
      </w:r>
    </w:p>
    <w:p w:rsidR="00FB67C7" w:rsidRDefault="00956306">
      <w:pPr>
        <w:pStyle w:val="a3"/>
      </w:pPr>
      <w:r>
        <w:t>Сокращение численности населения нашло свое отражение в людности сельских поселений (см. табл. 1).</w:t>
      </w:r>
    </w:p>
    <w:p w:rsidR="00FB67C7" w:rsidRDefault="00956306">
      <w:pPr>
        <w:pStyle w:val="a3"/>
      </w:pPr>
      <w:r>
        <w:t>Таблица 1</w:t>
      </w:r>
    </w:p>
    <w:p w:rsidR="00FB67C7" w:rsidRDefault="00956306">
      <w:pPr>
        <w:pStyle w:val="a3"/>
      </w:pPr>
      <w:r>
        <w:t>Г руппировка сельских населённых пунктов (СНП) по численности населения и доля сельского населения, проживающего в сёлах разной</w:t>
      </w:r>
    </w:p>
    <w:p w:rsidR="00FB67C7" w:rsidRDefault="00956306">
      <w:pPr>
        <w:pStyle w:val="a3"/>
      </w:pPr>
      <w:r>
        <w:t>величины на 2002 и 2011 год</w:t>
      </w:r>
    </w:p>
    <w:p w:rsidR="00FB67C7" w:rsidRDefault="00956306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  <w:gridCol w:w="480"/>
        <w:gridCol w:w="480"/>
        <w:gridCol w:w="480"/>
        <w:gridCol w:w="480"/>
        <w:gridCol w:w="480"/>
        <w:gridCol w:w="480"/>
      </w:tblGrid>
      <w:tr w:rsidR="00FB67C7">
        <w:trPr>
          <w:trHeight w:val="36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FB67C7" w:rsidRPr="00956306" w:rsidRDefault="00956306">
            <w:pPr>
              <w:pStyle w:val="a3"/>
            </w:pPr>
            <w:r w:rsidRPr="00956306">
              <w:t>Сельские</w:t>
            </w:r>
          </w:p>
          <w:p w:rsidR="00FB67C7" w:rsidRPr="00956306" w:rsidRDefault="00956306">
            <w:pPr>
              <w:pStyle w:val="a3"/>
            </w:pPr>
            <w:r w:rsidRPr="00956306">
              <w:t>пункты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FB67C7" w:rsidRPr="00956306" w:rsidRDefault="00956306">
            <w:pPr>
              <w:pStyle w:val="a3"/>
            </w:pPr>
            <w:r w:rsidRPr="00956306">
              <w:t>Населённые</w:t>
            </w:r>
          </w:p>
          <w:p w:rsidR="00FB67C7" w:rsidRPr="00956306" w:rsidRDefault="00956306">
            <w:pPr>
              <w:pStyle w:val="a3"/>
            </w:pPr>
            <w:r w:rsidRPr="00956306">
              <w:t>пункты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FB67C7" w:rsidRDefault="00956306">
            <w:r>
              <w:t>В них населения (человек)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B67C7" w:rsidRDefault="00956306">
            <w:r>
              <w:t>Итого в % к итогу</w:t>
            </w:r>
          </w:p>
        </w:tc>
      </w:tr>
      <w:tr w:rsidR="00FB67C7">
        <w:trPr>
          <w:trHeight w:val="75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B67C7" w:rsidRPr="00956306" w:rsidRDefault="00FB67C7"/>
        </w:tc>
        <w:tc>
          <w:tcPr>
            <w:tcW w:w="0" w:type="auto"/>
            <w:gridSpan w:val="2"/>
            <w:vMerge/>
            <w:vAlign w:val="center"/>
            <w:hideMark/>
          </w:tcPr>
          <w:p w:rsidR="00FB67C7" w:rsidRPr="00956306" w:rsidRDefault="00FB67C7"/>
        </w:tc>
        <w:tc>
          <w:tcPr>
            <w:tcW w:w="0" w:type="auto"/>
            <w:gridSpan w:val="2"/>
            <w:vMerge/>
            <w:vAlign w:val="center"/>
            <w:hideMark/>
          </w:tcPr>
          <w:p w:rsidR="00FB67C7" w:rsidRDefault="00FB67C7"/>
        </w:tc>
        <w:tc>
          <w:tcPr>
            <w:tcW w:w="0" w:type="auto"/>
            <w:gridSpan w:val="2"/>
            <w:vAlign w:val="center"/>
            <w:hideMark/>
          </w:tcPr>
          <w:p w:rsidR="00FB67C7" w:rsidRPr="00956306" w:rsidRDefault="00956306">
            <w:pPr>
              <w:pStyle w:val="a3"/>
            </w:pPr>
            <w:r w:rsidRPr="00956306">
              <w:t>Населенные</w:t>
            </w:r>
          </w:p>
          <w:p w:rsidR="00FB67C7" w:rsidRPr="00956306" w:rsidRDefault="00956306">
            <w:pPr>
              <w:pStyle w:val="a3"/>
            </w:pPr>
            <w:r w:rsidRPr="00956306">
              <w:t>пункты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67C7" w:rsidRDefault="00956306">
            <w:r>
              <w:t>В них Населения</w:t>
            </w:r>
          </w:p>
        </w:tc>
      </w:tr>
      <w:tr w:rsidR="00FB67C7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FB67C7" w:rsidRDefault="0095630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2002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2011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2002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2011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2002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2011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2002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2011</w:t>
            </w:r>
          </w:p>
        </w:tc>
      </w:tr>
      <w:tr w:rsidR="00FB67C7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FB67C7" w:rsidRDefault="00956306">
            <w:r>
              <w:t>Всего по району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105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104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26488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23439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100</w:t>
            </w:r>
          </w:p>
        </w:tc>
      </w:tr>
      <w:tr w:rsidR="00FB67C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B67C7" w:rsidRDefault="00956306">
            <w:r>
              <w:t>Без населения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2,86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5,77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-</w:t>
            </w:r>
          </w:p>
        </w:tc>
      </w:tr>
      <w:tr w:rsidR="00FB67C7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FB67C7" w:rsidRDefault="00956306">
            <w:r>
              <w:t>До 10 человек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52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5,71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6,73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0,11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0,22</w:t>
            </w:r>
          </w:p>
        </w:tc>
      </w:tr>
      <w:tr w:rsidR="00FB67C7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FB67C7" w:rsidRDefault="00956306">
            <w:r>
              <w:t>11- 50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29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786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802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23,81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27,89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2,97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3,42</w:t>
            </w:r>
          </w:p>
        </w:tc>
      </w:tr>
      <w:tr w:rsidR="00FB67C7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FB67C7" w:rsidRDefault="00956306">
            <w:r>
              <w:t>51- 100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1476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1024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19,05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13,47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5,57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4,37</w:t>
            </w:r>
          </w:p>
        </w:tc>
      </w:tr>
      <w:tr w:rsidR="00FB67C7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FB67C7" w:rsidRDefault="00956306">
            <w:r>
              <w:t>101- 200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1435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1830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9,52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12,5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5,42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7,81</w:t>
            </w:r>
          </w:p>
        </w:tc>
      </w:tr>
      <w:tr w:rsidR="00FB67C7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FB67C7" w:rsidRDefault="00956306">
            <w:r>
              <w:t>201- 500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8509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6894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24,76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20,19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32,12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29,41</w:t>
            </w:r>
          </w:p>
        </w:tc>
      </w:tr>
      <w:tr w:rsidR="00FB67C7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FB67C7" w:rsidRDefault="00956306">
            <w:r>
              <w:t>501- 1000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7580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7469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9,52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9,62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28,62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31,87</w:t>
            </w:r>
          </w:p>
        </w:tc>
      </w:tr>
      <w:tr w:rsidR="00FB67C7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FB67C7" w:rsidRDefault="00956306">
            <w:r>
              <w:t>1001- 2000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4549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5368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3,81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3,85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17,17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22,9</w:t>
            </w:r>
          </w:p>
        </w:tc>
      </w:tr>
      <w:tr w:rsidR="00FB67C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B67C7" w:rsidRDefault="00956306">
            <w:r>
              <w:t>2001- 3000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2123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0,95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8,01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-</w:t>
            </w:r>
          </w:p>
        </w:tc>
      </w:tr>
    </w:tbl>
    <w:p w:rsidR="00FB67C7" w:rsidRPr="00956306" w:rsidRDefault="00956306">
      <w:pPr>
        <w:pStyle w:val="a3"/>
      </w:pPr>
      <w:r>
        <w:t>Составлено и рассчитано по источникам:№4, №5.</w:t>
      </w:r>
    </w:p>
    <w:p w:rsidR="00FB67C7" w:rsidRDefault="00956306">
      <w:pPr>
        <w:pStyle w:val="a3"/>
      </w:pPr>
      <w:r>
        <w:t>Группировка людности сельских поселений свидетельствует об измельчении сети поселений, росте «мертвых» сел, сокращении числа жителей и сел крупных населенных пунктов.</w:t>
      </w:r>
    </w:p>
    <w:p w:rsidR="00FB67C7" w:rsidRDefault="00956306">
      <w:pPr>
        <w:pStyle w:val="a3"/>
      </w:pPr>
      <w:r>
        <w:t>В связи с миграционным оттоком в поисках лучших условий для жизни и естественной убылью, в Новооскольском районе увеличилось количество «мёртвых» сёл. По сравнению с 2012 годом оно увеличилось в 2 раза, 27%</w:t>
      </w:r>
    </w:p>
    <w:p w:rsidR="00FB67C7" w:rsidRDefault="00086B19">
      <w:pPr>
        <w:pStyle w:val="a3"/>
      </w:pPr>
      <w:r>
        <w:rPr>
          <w:noProof/>
        </w:rPr>
        <w:pict>
          <v:shape id="_x0000_i1031" type="#_x0000_t75" style="width:328.5pt;height:232.5pt">
            <v:imagedata r:id="rId5" o:title=""/>
          </v:shape>
        </w:pict>
      </w:r>
    </w:p>
    <w:p w:rsidR="00FB67C7" w:rsidRDefault="00956306">
      <w:pPr>
        <w:pStyle w:val="a3"/>
      </w:pPr>
      <w:r>
        <w:t>составляют сёла с численностью населения до 50 жителей, а доля сёл с 1000 и более населения составляет всего 4% (см. рис. 2.).</w:t>
      </w:r>
    </w:p>
    <w:p w:rsidR="00FB67C7" w:rsidRDefault="00956306">
      <w:pPr>
        <w:pStyle w:val="a3"/>
      </w:pPr>
      <w:r>
        <w:t>Рис. Сельское расселение Новооскольского района. 2012 г</w:t>
      </w:r>
    </w:p>
    <w:p w:rsidR="00FB67C7" w:rsidRDefault="00956306">
      <w:pPr>
        <w:pStyle w:val="a3"/>
      </w:pPr>
      <w:r>
        <w:t>Уменьшение людности населенных пунктов приводит к росту расходов на содержание инфраструктуры.</w:t>
      </w:r>
    </w:p>
    <w:p w:rsidR="00FB67C7" w:rsidRDefault="00956306">
      <w:pPr>
        <w:pStyle w:val="a3"/>
      </w:pPr>
      <w:r>
        <w:t>Третий вызов - социально-демографический.</w:t>
      </w:r>
    </w:p>
    <w:p w:rsidR="00FB67C7" w:rsidRDefault="00956306">
      <w:pPr>
        <w:pStyle w:val="a3"/>
      </w:pPr>
      <w:r>
        <w:t>В структуре сельского населения района продолжает расти доля экономически и социально неактивных пожилых людей, а численность трудоспособного населения по отношению ко всему населению сокращается.</w:t>
      </w:r>
    </w:p>
    <w:p w:rsidR="00FB67C7" w:rsidRDefault="00956306">
      <w:pPr>
        <w:pStyle w:val="a3"/>
      </w:pPr>
      <w:r>
        <w:t>Такие демографические тенденции могут привести к разрушительным последствиям для социально - экономического развития района.</w:t>
      </w:r>
    </w:p>
    <w:p w:rsidR="00FB67C7" w:rsidRDefault="00956306">
      <w:pPr>
        <w:pStyle w:val="a3"/>
      </w:pPr>
      <w:r>
        <w:t>Для выявления реальной ситуации на сельском рынке труда Новооскольского района, мы провели собственные исследования по четырем поселениям экспедиционным способом. Нами были выбраны четыре сельских поселения: Великомихайловское, Богородское, Валильдольское и Тростенецкое.</w:t>
      </w:r>
    </w:p>
    <w:p w:rsidR="00FB67C7" w:rsidRDefault="00956306">
      <w:pPr>
        <w:pStyle w:val="a3"/>
      </w:pPr>
      <w:r>
        <w:t>Общая численность населения обследованных поселений составила 5651 человек, т.е. 25 %. Полученные данные систематизировали, рассчитали и отобразили в форме матрицы (табл.).</w:t>
      </w:r>
    </w:p>
    <w:p w:rsidR="00FB67C7" w:rsidRDefault="00956306">
      <w:pPr>
        <w:pStyle w:val="a3"/>
      </w:pPr>
      <w:r>
        <w:t>Таблица 2</w:t>
      </w:r>
    </w:p>
    <w:p w:rsidR="00FB67C7" w:rsidRDefault="00956306">
      <w:pPr>
        <w:pStyle w:val="a3"/>
      </w:pPr>
      <w:r>
        <w:t>Социально-демографическая ситуация и занятость населения в районе по состоянию на 01.01.2013 года</w:t>
      </w:r>
    </w:p>
    <w:p w:rsidR="00FB67C7" w:rsidRDefault="00956306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B67C7">
        <w:trPr>
          <w:trHeight w:val="2055"/>
          <w:tblCellSpacing w:w="0" w:type="dxa"/>
        </w:trPr>
        <w:tc>
          <w:tcPr>
            <w:tcW w:w="0" w:type="auto"/>
            <w:vAlign w:val="center"/>
            <w:hideMark/>
          </w:tcPr>
          <w:p w:rsidR="00FB67C7" w:rsidRDefault="00956306">
            <w: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FB67C7" w:rsidRPr="00956306" w:rsidRDefault="00956306">
            <w:pPr>
              <w:pStyle w:val="a3"/>
            </w:pPr>
            <w:r w:rsidRPr="00956306">
              <w:t>численность</w:t>
            </w:r>
          </w:p>
          <w:p w:rsidR="00FB67C7" w:rsidRPr="00956306" w:rsidRDefault="00956306">
            <w:pPr>
              <w:pStyle w:val="a3"/>
            </w:pPr>
            <w:r w:rsidRPr="00956306">
              <w:t>населения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пенсионеры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дети до 16 лет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трудоспособное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студенты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трудоспособные инвалиды на пенсии</w:t>
            </w:r>
          </w:p>
        </w:tc>
        <w:tc>
          <w:tcPr>
            <w:tcW w:w="0" w:type="auto"/>
            <w:vAlign w:val="center"/>
            <w:hideMark/>
          </w:tcPr>
          <w:p w:rsidR="00FB67C7" w:rsidRPr="00956306" w:rsidRDefault="00956306">
            <w:pPr>
              <w:pStyle w:val="a3"/>
            </w:pPr>
            <w:r w:rsidRPr="00956306">
              <w:t>экономически</w:t>
            </w:r>
          </w:p>
          <w:p w:rsidR="00FB67C7" w:rsidRPr="00956306" w:rsidRDefault="00956306">
            <w:pPr>
              <w:pStyle w:val="a3"/>
            </w:pPr>
            <w:r w:rsidRPr="00956306">
              <w:t>активное</w:t>
            </w:r>
          </w:p>
          <w:p w:rsidR="00FB67C7" w:rsidRPr="00956306" w:rsidRDefault="00956306">
            <w:pPr>
              <w:pStyle w:val="a3"/>
            </w:pPr>
            <w:r w:rsidRPr="00956306">
              <w:t>население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безработные, не состоящие на учете</w:t>
            </w:r>
          </w:p>
        </w:tc>
        <w:tc>
          <w:tcPr>
            <w:tcW w:w="0" w:type="auto"/>
            <w:vAlign w:val="center"/>
            <w:hideMark/>
          </w:tcPr>
          <w:p w:rsidR="00FB67C7" w:rsidRPr="00956306" w:rsidRDefault="00956306">
            <w:pPr>
              <w:pStyle w:val="a3"/>
            </w:pPr>
            <w:r w:rsidRPr="00956306">
              <w:t>безработные,</w:t>
            </w:r>
          </w:p>
          <w:p w:rsidR="00FB67C7" w:rsidRPr="00956306" w:rsidRDefault="00956306">
            <w:pPr>
              <w:pStyle w:val="a3"/>
            </w:pPr>
            <w:r w:rsidRPr="00956306">
              <w:t>состоящие на</w:t>
            </w:r>
          </w:p>
          <w:p w:rsidR="00FB67C7" w:rsidRPr="00956306" w:rsidRDefault="00956306">
            <w:pPr>
              <w:pStyle w:val="a3"/>
            </w:pPr>
            <w:r w:rsidRPr="00956306">
              <w:t>т то</w:t>
            </w:r>
          </w:p>
        </w:tc>
      </w:tr>
    </w:tbl>
    <w:p w:rsidR="00FB67C7" w:rsidRPr="00956306" w:rsidRDefault="00956306">
      <w:pPr>
        <w:pStyle w:val="a3"/>
      </w:pPr>
      <w:r>
        <w:t> </w:t>
      </w:r>
    </w:p>
    <w:p w:rsidR="00FB67C7" w:rsidRDefault="00956306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B67C7">
        <w:trPr>
          <w:trHeight w:val="1875"/>
          <w:tblCellSpacing w:w="0" w:type="dxa"/>
        </w:trPr>
        <w:tc>
          <w:tcPr>
            <w:tcW w:w="0" w:type="auto"/>
            <w:vAlign w:val="center"/>
            <w:hideMark/>
          </w:tcPr>
          <w:p w:rsidR="00FB67C7" w:rsidRDefault="0095630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 </w:t>
            </w:r>
          </w:p>
        </w:tc>
      </w:tr>
      <w:tr w:rsidR="00FB67C7">
        <w:trPr>
          <w:trHeight w:val="840"/>
          <w:tblCellSpacing w:w="0" w:type="dxa"/>
        </w:trPr>
        <w:tc>
          <w:tcPr>
            <w:tcW w:w="0" w:type="auto"/>
            <w:vAlign w:val="center"/>
            <w:hideMark/>
          </w:tcPr>
          <w:p w:rsidR="00FB67C7" w:rsidRPr="00956306" w:rsidRDefault="00956306">
            <w:pPr>
              <w:pStyle w:val="a3"/>
            </w:pPr>
            <w:r w:rsidRPr="00956306">
              <w:t>Великомихайловское</w:t>
            </w:r>
          </w:p>
          <w:p w:rsidR="00FB67C7" w:rsidRPr="00956306" w:rsidRDefault="00956306">
            <w:pPr>
              <w:pStyle w:val="a3"/>
            </w:pPr>
            <w:r w:rsidRPr="00956306">
              <w:t>с/п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2980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1220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383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1377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203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132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1042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309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14</w:t>
            </w:r>
          </w:p>
        </w:tc>
      </w:tr>
      <w:tr w:rsidR="00FB67C7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B67C7" w:rsidRDefault="00956306">
            <w:r>
              <w:t>Богородское с/п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1006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462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154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390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29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28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213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79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9</w:t>
            </w:r>
          </w:p>
        </w:tc>
      </w:tr>
      <w:tr w:rsidR="00FB67C7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B67C7" w:rsidRDefault="00956306">
            <w:r>
              <w:t>Васильдольское с/п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826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325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113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388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31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313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65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6</w:t>
            </w:r>
          </w:p>
        </w:tc>
      </w:tr>
      <w:tr w:rsidR="00FB67C7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B67C7" w:rsidRDefault="00956306">
            <w:r>
              <w:t>Тростенецкое с/п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839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369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91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379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328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71</w:t>
            </w:r>
          </w:p>
        </w:tc>
        <w:tc>
          <w:tcPr>
            <w:tcW w:w="0" w:type="auto"/>
            <w:vAlign w:val="center"/>
            <w:hideMark/>
          </w:tcPr>
          <w:p w:rsidR="00FB67C7" w:rsidRDefault="00956306">
            <w:r>
              <w:t>11</w:t>
            </w:r>
          </w:p>
        </w:tc>
      </w:tr>
    </w:tbl>
    <w:p w:rsidR="00FB67C7" w:rsidRPr="00956306" w:rsidRDefault="00956306">
      <w:pPr>
        <w:pStyle w:val="a3"/>
      </w:pPr>
      <w:r>
        <w:t>Составлено по данным автора.</w:t>
      </w:r>
    </w:p>
    <w:p w:rsidR="00FB67C7" w:rsidRDefault="00956306">
      <w:pPr>
        <w:pStyle w:val="a3"/>
      </w:pPr>
      <w:r>
        <w:t>Анализ полученных результатов показал, в Новооскольском районе в социально-демографическом, экономическом развитии сельского населения сложился ряд актуальных проблем:</w:t>
      </w:r>
    </w:p>
    <w:p w:rsidR="00FB67C7" w:rsidRDefault="00956306">
      <w:pPr>
        <w:pStyle w:val="a3"/>
      </w:pPr>
      <w:r>
        <w:t>постоянное сокращение численности населения;</w:t>
      </w:r>
    </w:p>
    <w:p w:rsidR="00FB67C7" w:rsidRDefault="00956306">
      <w:pPr>
        <w:pStyle w:val="a3"/>
      </w:pPr>
      <w:r>
        <w:t>постарение населения; диспропорции по полу;</w:t>
      </w:r>
    </w:p>
    <w:p w:rsidR="00FB67C7" w:rsidRDefault="00956306">
      <w:pPr>
        <w:pStyle w:val="a3"/>
      </w:pPr>
      <w:r>
        <w:t>низкий уровень занятости населения - от 1/5 до половины населения (с учетом занятых в ЛПХ);</w:t>
      </w:r>
    </w:p>
    <w:p w:rsidR="00FB67C7" w:rsidRDefault="00956306">
      <w:pPr>
        <w:pStyle w:val="a3"/>
      </w:pPr>
      <w:r>
        <w:t>высокая напряженность на рынке труда, узкая сфера выбора профессий;</w:t>
      </w:r>
    </w:p>
    <w:p w:rsidR="00FB67C7" w:rsidRDefault="00956306">
      <w:pPr>
        <w:pStyle w:val="a3"/>
      </w:pPr>
      <w:r>
        <w:t>низкий уровень оплаты труда.</w:t>
      </w:r>
    </w:p>
    <w:p w:rsidR="00FB67C7" w:rsidRDefault="00956306">
      <w:pPr>
        <w:pStyle w:val="a3"/>
      </w:pPr>
      <w:r>
        <w:t>Наши исследования показали, что идет сокращение численности занятых в сельском хозяйстве и это стойкая тенденция. Причины связаны с развитием отраслей высокотоварного птицеводства в районе, слабым развитием иных отраслей. Выявлена высокая текучесть кадров на птицеводческих комплексах, вызванная: невысокой заработной платой; высокими требованиями к дисциплине работающих; сложными условиями труда, часто не соответствующими санитарно - гигиеническим требованиям.</w:t>
      </w:r>
    </w:p>
    <w:p w:rsidR="00FB67C7" w:rsidRDefault="00956306">
      <w:pPr>
        <w:pStyle w:val="a3"/>
      </w:pPr>
      <w:r>
        <w:t>Выявлены новые тенденции в сфере занятости:растет</w:t>
      </w:r>
    </w:p>
    <w:p w:rsidR="00FB67C7" w:rsidRDefault="00956306">
      <w:pPr>
        <w:pStyle w:val="a3"/>
      </w:pPr>
      <w:r>
        <w:t>несельскохозяйственная и нерегистрируемая, теневая занятость сельских жителей в районе. А это риски будущего пенсионного обеспечения населения, сокращения налогов в бюджет.</w:t>
      </w:r>
    </w:p>
    <w:p w:rsidR="00FB67C7" w:rsidRDefault="00956306">
      <w:pPr>
        <w:pStyle w:val="a3"/>
      </w:pPr>
      <w:r>
        <w:t>Четверный вызов - экологический.</w:t>
      </w:r>
    </w:p>
    <w:p w:rsidR="00FB67C7" w:rsidRDefault="00956306">
      <w:pPr>
        <w:pStyle w:val="a3"/>
      </w:pPr>
      <w:r>
        <w:t>Птицеводческие комплексы оказывают негативное влияние на экологическую ситуацию в районе. Основным загрязнителем земель и других элементов окружающей среды является ЗАО «Приосколье»: это отходы и сточные воды предприятия, использование ядохимикатов и пестицидов, слабая производственная и технологическая дисциплина.</w:t>
      </w:r>
    </w:p>
    <w:p w:rsidR="00FB67C7" w:rsidRDefault="00956306">
      <w:pPr>
        <w:pStyle w:val="a3"/>
      </w:pPr>
      <w:r>
        <w:t>К сожалению, экологическое мировоззрение у многих руководителей и специалистов аграрной сферы пока не сформировалось, и по этой причине</w:t>
      </w:r>
    </w:p>
    <w:p w:rsidR="00FB67C7" w:rsidRDefault="00956306">
      <w:pPr>
        <w:pStyle w:val="a3"/>
      </w:pPr>
      <w:r>
        <w:t>продолжается ведение сельскохозяйственного производства с грубыми нарушениями норм экологического законодательства [2].</w:t>
      </w:r>
    </w:p>
    <w:p w:rsidR="00FB67C7" w:rsidRDefault="00956306">
      <w:pPr>
        <w:pStyle w:val="a3"/>
      </w:pPr>
      <w:r>
        <w:t>Выводы:</w:t>
      </w:r>
    </w:p>
    <w:p w:rsidR="00FB67C7" w:rsidRDefault="00956306">
      <w:pPr>
        <w:pStyle w:val="a3"/>
      </w:pPr>
      <w:r>
        <w:t>Наше исследование позволяет нам утверждать, что наиболее существенными проблемами Новооскольского района, являются следующие:</w:t>
      </w:r>
    </w:p>
    <w:p w:rsidR="00FB67C7" w:rsidRDefault="00956306">
      <w:pPr>
        <w:pStyle w:val="a3"/>
      </w:pPr>
      <w:r>
        <w:t>интенсивное сокращение численности населения, сохранение тенденции в перспективе;</w:t>
      </w:r>
    </w:p>
    <w:p w:rsidR="00FB67C7" w:rsidRDefault="00956306">
      <w:pPr>
        <w:pStyle w:val="a3"/>
      </w:pPr>
      <w:r>
        <w:t>сложная демографическая ситуация - демографический кризис, приводящий к постепенному вымиранию сельской местности;</w:t>
      </w:r>
    </w:p>
    <w:p w:rsidR="00FB67C7" w:rsidRDefault="00956306">
      <w:pPr>
        <w:pStyle w:val="a3"/>
      </w:pPr>
      <w:r>
        <w:t>измельчение поселенческой сети, рост «мертвых» деревень;</w:t>
      </w:r>
    </w:p>
    <w:p w:rsidR="00FB67C7" w:rsidRDefault="00956306">
      <w:pPr>
        <w:pStyle w:val="a3"/>
      </w:pPr>
      <w:r>
        <w:t>рост безработных и теневой занятости в связи с банкротством сельхозпредприятий;</w:t>
      </w:r>
    </w:p>
    <w:p w:rsidR="00FB67C7" w:rsidRDefault="00956306">
      <w:pPr>
        <w:pStyle w:val="a3"/>
      </w:pPr>
      <w:r>
        <w:t>ухудшение экологической ситуации.</w:t>
      </w:r>
    </w:p>
    <w:p w:rsidR="00FB67C7" w:rsidRDefault="00956306">
      <w:pPr>
        <w:pStyle w:val="a3"/>
      </w:pPr>
      <w:r>
        <w:t>Для эффективного и устойчивого развития села необходимо:</w:t>
      </w:r>
    </w:p>
    <w:p w:rsidR="00FB67C7" w:rsidRDefault="00956306">
      <w:pPr>
        <w:pStyle w:val="a3"/>
      </w:pPr>
      <w:r>
        <w:t>создание для сельского населения адекватных условий жизнедеятельности;</w:t>
      </w:r>
    </w:p>
    <w:p w:rsidR="00FB67C7" w:rsidRDefault="00956306">
      <w:pPr>
        <w:pStyle w:val="a3"/>
      </w:pPr>
      <w:r>
        <w:t>восстановление и развитие социальной и производственной инфраструктуры;</w:t>
      </w:r>
    </w:p>
    <w:p w:rsidR="00FB67C7" w:rsidRDefault="00956306">
      <w:pPr>
        <w:pStyle w:val="a3"/>
      </w:pPr>
      <w:r>
        <w:t>стимулирование малого и среднего бизнеса.</w:t>
      </w:r>
    </w:p>
    <w:p w:rsidR="00FB67C7" w:rsidRDefault="00956306">
      <w:pPr>
        <w:pStyle w:val="a3"/>
      </w:pPr>
      <w:r>
        <w:t>Литература</w:t>
      </w:r>
    </w:p>
    <w:p w:rsidR="00FB67C7" w:rsidRDefault="00956306">
      <w:pPr>
        <w:pStyle w:val="a3"/>
      </w:pPr>
      <w:r>
        <w:t>Актуальные проблемы современного российского общества. - Москва: Институт общественногопроектирования,2008.-Режимдоступа:</w:t>
      </w:r>
    </w:p>
    <w:p w:rsidR="00FB67C7" w:rsidRDefault="00956306">
      <w:pPr>
        <w:pStyle w:val="a3"/>
      </w:pPr>
      <w:r>
        <w:t>http://www.inop.ru/files/Konkurs%202.</w:t>
      </w:r>
    </w:p>
    <w:p w:rsidR="00FB67C7" w:rsidRDefault="00956306">
      <w:pPr>
        <w:pStyle w:val="a3"/>
      </w:pPr>
      <w:r>
        <w:t>Правовая охрана окружающей среды в сельском хозяйстве/под ред.: Колбасов О.С. - М.: Наука, 1989.- 188с</w:t>
      </w:r>
    </w:p>
    <w:p w:rsidR="00FB67C7" w:rsidRDefault="00956306">
      <w:pPr>
        <w:pStyle w:val="a3"/>
      </w:pPr>
      <w:r>
        <w:t>Статистические материалы сельских администраций.</w:t>
      </w:r>
    </w:p>
    <w:p w:rsidR="00FB67C7" w:rsidRDefault="00956306">
      <w:pPr>
        <w:pStyle w:val="a3"/>
      </w:pPr>
      <w:r>
        <w:t>Муниципальные образования и численность населения Белгородской области на 1 января 2011 года: Инф. изд./ Белгородстат - 2011 - с.84</w:t>
      </w:r>
    </w:p>
    <w:p w:rsidR="00FB67C7" w:rsidRDefault="00956306">
      <w:pPr>
        <w:pStyle w:val="a3"/>
      </w:pPr>
      <w:r>
        <w:t>Муниципальные образования и численность населения Белгородской области на 1 января 2007 года: Спр. изд./ Белгородстат - 2007 - с.83</w:t>
      </w:r>
      <w:bookmarkStart w:id="0" w:name="_GoBack"/>
      <w:bookmarkEnd w:id="0"/>
    </w:p>
    <w:sectPr w:rsidR="00FB6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306"/>
    <w:rsid w:val="00086B19"/>
    <w:rsid w:val="00956306"/>
    <w:rsid w:val="00FB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E944874-C486-49C2-A253-218C0775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1302</Words>
  <Characters>7425</Characters>
  <Application>Microsoft Office Word</Application>
  <DocSecurity>0</DocSecurity>
  <Lines>61</Lines>
  <Paragraphs>17</Paragraphs>
  <ScaleCrop>false</ScaleCrop>
  <Company>diakov.net</Company>
  <LinksUpToDate>false</LinksUpToDate>
  <CharactersWithSpaces>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Сельское расселение муниципального образования: экологические, экистические вызовы XXI века (на примере Новооскольского района Белгородской области)</dc:title>
  <dc:subject/>
  <dc:creator>Irina</dc:creator>
  <cp:keywords/>
  <dc:description/>
  <cp:lastModifiedBy>Irina</cp:lastModifiedBy>
  <cp:revision>2</cp:revision>
  <dcterms:created xsi:type="dcterms:W3CDTF">2014-08-02T19:34:00Z</dcterms:created>
  <dcterms:modified xsi:type="dcterms:W3CDTF">2014-08-02T19:34:00Z</dcterms:modified>
</cp:coreProperties>
</file>