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68" w:rsidRDefault="009F5868">
      <w:pPr>
        <w:pStyle w:val="a7"/>
      </w:pPr>
      <w:r>
        <w:t xml:space="preserve"> Министерство образования Российской Федерации</w:t>
      </w:r>
    </w:p>
    <w:p w:rsidR="009F5868" w:rsidRDefault="009F5868">
      <w:pPr>
        <w:jc w:val="center"/>
      </w:pPr>
    </w:p>
    <w:p w:rsidR="009F5868" w:rsidRDefault="009F5868">
      <w:pPr>
        <w:jc w:val="center"/>
      </w:pPr>
      <w:r>
        <w:t>Санкт-Петербургский государственный</w:t>
      </w:r>
    </w:p>
    <w:p w:rsidR="009F5868" w:rsidRDefault="009F5868">
      <w:pPr>
        <w:jc w:val="center"/>
      </w:pPr>
      <w:r>
        <w:t>инженерно-экономический университет</w:t>
      </w: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pStyle w:val="1"/>
        <w:numPr>
          <w:ilvl w:val="0"/>
          <w:numId w:val="0"/>
        </w:numPr>
        <w:rPr>
          <w:sz w:val="48"/>
        </w:rPr>
      </w:pPr>
      <w:r>
        <w:rPr>
          <w:sz w:val="48"/>
        </w:rPr>
        <w:t>КОНТРОЛЬНАЯ РАБОТА</w:t>
      </w:r>
    </w:p>
    <w:p w:rsidR="009F5868" w:rsidRDefault="009F5868">
      <w:pPr>
        <w:jc w:val="center"/>
        <w:rPr>
          <w:b/>
          <w:sz w:val="48"/>
        </w:rPr>
      </w:pPr>
      <w:r>
        <w:rPr>
          <w:b/>
          <w:sz w:val="48"/>
        </w:rPr>
        <w:t>по экономике информатики</w:t>
      </w:r>
    </w:p>
    <w:p w:rsidR="009F5868" w:rsidRDefault="009F5868">
      <w:pPr>
        <w:jc w:val="center"/>
        <w:rPr>
          <w:b/>
          <w:sz w:val="48"/>
        </w:rPr>
      </w:pPr>
    </w:p>
    <w:p w:rsidR="009F5868" w:rsidRDefault="009F5868">
      <w:pPr>
        <w:jc w:val="center"/>
        <w:rPr>
          <w:b/>
          <w:sz w:val="48"/>
        </w:rPr>
      </w:pPr>
    </w:p>
    <w:tbl>
      <w:tblPr>
        <w:tblW w:w="0" w:type="auto"/>
        <w:tblInd w:w="2376" w:type="dxa"/>
        <w:tblLayout w:type="fixed"/>
        <w:tblLook w:val="0000" w:firstRow="0" w:lastRow="0" w:firstColumn="0" w:lastColumn="0" w:noHBand="0" w:noVBand="0"/>
      </w:tblPr>
      <w:tblGrid>
        <w:gridCol w:w="1985"/>
        <w:gridCol w:w="4536"/>
      </w:tblGrid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  <w:r>
              <w:rPr>
                <w:b/>
              </w:rPr>
              <w:t xml:space="preserve">Выполнила </w:t>
            </w: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i/>
              </w:rPr>
            </w:pPr>
            <w:r>
              <w:rPr>
                <w:i/>
              </w:rPr>
              <w:t>Асимова Марина Витальевна</w:t>
            </w: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i/>
              </w:rPr>
            </w:pP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  <w:r>
              <w:rPr>
                <w:b/>
              </w:rPr>
              <w:t>Номер зачетки</w:t>
            </w: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i/>
              </w:rPr>
            </w:pP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F5868" w:rsidRDefault="009F5868">
            <w:pPr>
              <w:ind w:left="-108" w:right="-3085" w:firstLine="108"/>
              <w:rPr>
                <w:b/>
              </w:rPr>
            </w:pP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i/>
              </w:rPr>
            </w:pP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F5868" w:rsidRDefault="009F5868">
            <w:pPr>
              <w:ind w:left="-108" w:right="-3085" w:firstLine="108"/>
              <w:rPr>
                <w:i/>
              </w:rPr>
            </w:pPr>
          </w:p>
        </w:tc>
      </w:tr>
      <w:tr w:rsidR="009F5868">
        <w:trPr>
          <w:trHeight w:val="217"/>
        </w:trPr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  <w:vertAlign w:val="superscript"/>
              </w:rPr>
            </w:pP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(уч.степень, уч. звание, Фамилия И.О.)</w:t>
            </w: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F5868" w:rsidRDefault="009F5868">
            <w:pPr>
              <w:ind w:left="-108" w:right="-3085" w:firstLine="108"/>
              <w:rPr>
                <w:i/>
              </w:rPr>
            </w:pP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vertAlign w:val="superscript"/>
              </w:rPr>
            </w:pP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(оценка, дата)</w:t>
            </w: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b/>
                <w:vertAlign w:val="superscrip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F5868" w:rsidRDefault="009F5868">
            <w:pPr>
              <w:ind w:left="-108" w:right="-3085" w:firstLine="108"/>
              <w:rPr>
                <w:i/>
                <w:vertAlign w:val="superscript"/>
              </w:rPr>
            </w:pPr>
          </w:p>
        </w:tc>
      </w:tr>
      <w:tr w:rsidR="009F5868">
        <w:tc>
          <w:tcPr>
            <w:tcW w:w="1985" w:type="dxa"/>
          </w:tcPr>
          <w:p w:rsidR="009F5868" w:rsidRDefault="009F5868">
            <w:pPr>
              <w:ind w:left="-108" w:right="-3085" w:firstLine="108"/>
              <w:rPr>
                <w:vertAlign w:val="superscript"/>
              </w:rPr>
            </w:pPr>
          </w:p>
        </w:tc>
        <w:tc>
          <w:tcPr>
            <w:tcW w:w="4536" w:type="dxa"/>
          </w:tcPr>
          <w:p w:rsidR="009F5868" w:rsidRDefault="009F5868">
            <w:pPr>
              <w:ind w:left="-108" w:right="-3085" w:firstLine="108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(подпись)</w:t>
            </w:r>
          </w:p>
        </w:tc>
      </w:tr>
    </w:tbl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</w:pPr>
    </w:p>
    <w:p w:rsidR="009F5868" w:rsidRDefault="009F5868">
      <w:pPr>
        <w:jc w:val="center"/>
        <w:rPr>
          <w:lang w:val="en-US"/>
        </w:rPr>
      </w:pPr>
    </w:p>
    <w:p w:rsidR="009F5868" w:rsidRDefault="009F5868">
      <w:pPr>
        <w:jc w:val="center"/>
      </w:pPr>
      <w:r>
        <w:t>Санкт-Петербург</w:t>
      </w:r>
    </w:p>
    <w:p w:rsidR="009F5868" w:rsidRDefault="009F5868">
      <w:pPr>
        <w:jc w:val="center"/>
      </w:pPr>
      <w:r>
        <w:t>2002</w:t>
      </w:r>
    </w:p>
    <w:p w:rsidR="009F5868" w:rsidRDefault="009F5868">
      <w:pPr>
        <w:pStyle w:val="1"/>
        <w:numPr>
          <w:ilvl w:val="0"/>
          <w:numId w:val="0"/>
        </w:numPr>
      </w:pPr>
      <w:r>
        <w:t>Основные фонды предприятий информатики</w:t>
      </w:r>
    </w:p>
    <w:p w:rsidR="009F5868" w:rsidRDefault="009F5868">
      <w:pPr>
        <w:pStyle w:val="a4"/>
        <w:ind w:right="1"/>
      </w:pPr>
    </w:p>
    <w:p w:rsidR="009F5868" w:rsidRDefault="009F5868">
      <w:pPr>
        <w:shd w:val="clear" w:color="auto" w:fill="FFFFFF"/>
        <w:spacing w:before="148" w:line="360" w:lineRule="auto"/>
        <w:ind w:left="11" w:firstLine="299"/>
        <w:rPr>
          <w:spacing w:val="28"/>
        </w:rPr>
      </w:pPr>
      <w:r>
        <w:rPr>
          <w:color w:val="000000"/>
          <w:spacing w:val="28"/>
        </w:rPr>
        <w:t>К основным фондам относятся средства труда, которые участвуют во многих производственных циклах, сохраняя при этом свою натуральную форму, и переносят свою стоимость на готовый продукт частями по мере износа (морального и физического).</w:t>
      </w:r>
    </w:p>
    <w:p w:rsidR="009F5868" w:rsidRDefault="009F5868">
      <w:pPr>
        <w:shd w:val="clear" w:color="auto" w:fill="FFFFFF"/>
        <w:spacing w:before="11" w:line="360" w:lineRule="auto"/>
        <w:ind w:left="11" w:right="7" w:firstLine="295"/>
        <w:rPr>
          <w:spacing w:val="28"/>
        </w:rPr>
      </w:pPr>
      <w:r>
        <w:rPr>
          <w:color w:val="000000"/>
          <w:spacing w:val="28"/>
        </w:rPr>
        <w:t>В России применяется следующая типовая классификация объектов основных средств:</w:t>
      </w:r>
    </w:p>
    <w:p w:rsidR="009F5868" w:rsidRDefault="009F5868">
      <w:pPr>
        <w:shd w:val="clear" w:color="auto" w:fill="FFFFFF"/>
        <w:spacing w:before="115" w:line="360" w:lineRule="auto"/>
        <w:ind w:left="310"/>
        <w:rPr>
          <w:spacing w:val="28"/>
        </w:rPr>
      </w:pPr>
      <w:r>
        <w:rPr>
          <w:color w:val="000000"/>
          <w:spacing w:val="28"/>
        </w:rPr>
        <w:t>• здания;</w:t>
      </w:r>
    </w:p>
    <w:p w:rsidR="009F5868" w:rsidRDefault="009F5868">
      <w:pPr>
        <w:shd w:val="clear" w:color="auto" w:fill="FFFFFF"/>
        <w:spacing w:line="360" w:lineRule="auto"/>
        <w:ind w:left="310"/>
        <w:rPr>
          <w:spacing w:val="28"/>
        </w:rPr>
      </w:pPr>
      <w:r>
        <w:rPr>
          <w:color w:val="000000"/>
          <w:spacing w:val="28"/>
        </w:rPr>
        <w:t>• сооружения;</w:t>
      </w:r>
    </w:p>
    <w:p w:rsidR="009F5868" w:rsidRDefault="009F5868">
      <w:pPr>
        <w:shd w:val="clear" w:color="auto" w:fill="FFFFFF"/>
        <w:spacing w:line="360" w:lineRule="auto"/>
        <w:ind w:left="310"/>
        <w:rPr>
          <w:spacing w:val="28"/>
        </w:rPr>
      </w:pPr>
      <w:r>
        <w:rPr>
          <w:color w:val="000000"/>
          <w:spacing w:val="28"/>
        </w:rPr>
        <w:t>• передаточные устройства;</w:t>
      </w:r>
    </w:p>
    <w:p w:rsidR="009F5868" w:rsidRDefault="009F5868">
      <w:pPr>
        <w:shd w:val="clear" w:color="auto" w:fill="FFFFFF"/>
        <w:spacing w:line="360" w:lineRule="auto"/>
        <w:ind w:left="310"/>
        <w:rPr>
          <w:spacing w:val="28"/>
        </w:rPr>
      </w:pPr>
      <w:r>
        <w:rPr>
          <w:color w:val="000000"/>
          <w:spacing w:val="28"/>
        </w:rPr>
        <w:t>• машины и оборудование;</w:t>
      </w:r>
    </w:p>
    <w:p w:rsidR="009F5868" w:rsidRDefault="009F5868">
      <w:pPr>
        <w:shd w:val="clear" w:color="auto" w:fill="FFFFFF"/>
        <w:spacing w:line="360" w:lineRule="auto"/>
        <w:ind w:left="310"/>
        <w:rPr>
          <w:spacing w:val="28"/>
        </w:rPr>
      </w:pPr>
      <w:r>
        <w:rPr>
          <w:color w:val="000000"/>
          <w:spacing w:val="28"/>
        </w:rPr>
        <w:t>• транспортные средства;</w:t>
      </w:r>
    </w:p>
    <w:p w:rsidR="009F5868" w:rsidRDefault="009F5868">
      <w:pPr>
        <w:shd w:val="clear" w:color="auto" w:fill="FFFFFF"/>
        <w:spacing w:line="360" w:lineRule="auto"/>
        <w:ind w:left="310"/>
        <w:rPr>
          <w:spacing w:val="28"/>
        </w:rPr>
      </w:pPr>
      <w:r>
        <w:rPr>
          <w:color w:val="000000"/>
          <w:spacing w:val="28"/>
        </w:rPr>
        <w:t>• инструмент, производственный и хозяйственный инвентарь;</w:t>
      </w:r>
    </w:p>
    <w:p w:rsidR="009F5868" w:rsidRDefault="009F5868">
      <w:pPr>
        <w:shd w:val="clear" w:color="auto" w:fill="FFFFFF"/>
        <w:spacing w:line="360" w:lineRule="auto"/>
        <w:ind w:left="310"/>
        <w:rPr>
          <w:spacing w:val="28"/>
        </w:rPr>
      </w:pPr>
      <w:r>
        <w:rPr>
          <w:color w:val="000000"/>
          <w:spacing w:val="28"/>
        </w:rPr>
        <w:t>• другие виды основных средств.</w:t>
      </w:r>
    </w:p>
    <w:p w:rsidR="009F5868" w:rsidRDefault="009F5868">
      <w:pPr>
        <w:shd w:val="clear" w:color="auto" w:fill="FFFFFF"/>
        <w:spacing w:before="119" w:line="360" w:lineRule="auto"/>
        <w:ind w:left="4" w:right="4" w:firstLine="295"/>
        <w:rPr>
          <w:spacing w:val="28"/>
        </w:rPr>
      </w:pPr>
      <w:r>
        <w:rPr>
          <w:color w:val="000000"/>
          <w:spacing w:val="28"/>
        </w:rPr>
        <w:t>По характеру использования основные фонды делятся на производственные и непроизводственные. К производственным фондам относятся здания производственного назначения, передаточные устройства, машины и оборудование, транспортные средства, средства связи и т.д. К непроизводственным фондам относятся жилые дома, клубы, дома отдыха и другие средства, находящиеся на балансе предприятия.</w:t>
      </w:r>
    </w:p>
    <w:p w:rsidR="009F5868" w:rsidRDefault="009F5868">
      <w:pPr>
        <w:shd w:val="clear" w:color="auto" w:fill="FFFFFF"/>
        <w:spacing w:before="7" w:line="360" w:lineRule="auto"/>
        <w:ind w:left="4" w:right="7" w:firstLine="295"/>
        <w:rPr>
          <w:spacing w:val="28"/>
        </w:rPr>
      </w:pPr>
      <w:r>
        <w:rPr>
          <w:color w:val="000000"/>
          <w:spacing w:val="28"/>
        </w:rPr>
        <w:t>Из других видов основных фондов, характерных для предприятий информатики, можно выделить программные продукты, базы данных, базы знаний и т. п.</w:t>
      </w:r>
    </w:p>
    <w:p w:rsidR="009F5868" w:rsidRDefault="009F5868">
      <w:pPr>
        <w:shd w:val="clear" w:color="auto" w:fill="FFFFFF"/>
        <w:spacing w:before="11" w:line="360" w:lineRule="auto"/>
        <w:ind w:right="7" w:firstLine="295"/>
        <w:rPr>
          <w:spacing w:val="28"/>
        </w:rPr>
      </w:pPr>
      <w:r>
        <w:rPr>
          <w:color w:val="000000"/>
          <w:spacing w:val="28"/>
        </w:rPr>
        <w:t>Программная продукция — это программы на техническом носителе данных, изготовленные по утвержденной технологии с соблюдением действующих стандартов и других нормативных документов, прошедшие испытания, принятые к производственной эксплуатации.</w:t>
      </w:r>
    </w:p>
    <w:p w:rsidR="009F5868" w:rsidRDefault="009F5868">
      <w:pPr>
        <w:shd w:val="clear" w:color="auto" w:fill="FFFFFF"/>
        <w:spacing w:before="11" w:line="360" w:lineRule="auto"/>
        <w:ind w:left="4" w:right="11" w:firstLine="299"/>
        <w:rPr>
          <w:spacing w:val="28"/>
        </w:rPr>
      </w:pPr>
      <w:r>
        <w:rPr>
          <w:color w:val="000000"/>
          <w:spacing w:val="28"/>
        </w:rPr>
        <w:t>Приобретение программных средств и информационных продуктов потребителями осуществляется за счет имеющихся источников в соответствии с установленным порядком их использования.</w:t>
      </w:r>
    </w:p>
    <w:p w:rsidR="009F5868" w:rsidRDefault="009F5868">
      <w:pPr>
        <w:shd w:val="clear" w:color="auto" w:fill="FFFFFF"/>
        <w:spacing w:line="360" w:lineRule="auto"/>
        <w:ind w:right="61" w:firstLine="277"/>
        <w:rPr>
          <w:spacing w:val="28"/>
        </w:rPr>
      </w:pPr>
      <w:r>
        <w:rPr>
          <w:color w:val="000000"/>
          <w:spacing w:val="28"/>
        </w:rPr>
        <w:t>Учет программных средств и информационных продуктов осуществляется у потребителя в соответствии с действующим порядком в составе основных средств или в составе малоценных и быстроизнашивающихся предметов - в зависимости от стоимости и источников финансирования.</w:t>
      </w:r>
    </w:p>
    <w:p w:rsidR="009F5868" w:rsidRDefault="009F5868">
      <w:pPr>
        <w:shd w:val="clear" w:color="auto" w:fill="FFFFFF"/>
        <w:spacing w:line="360" w:lineRule="auto"/>
        <w:ind w:left="4" w:right="58" w:firstLine="284"/>
        <w:rPr>
          <w:spacing w:val="28"/>
        </w:rPr>
      </w:pPr>
      <w:r>
        <w:rPr>
          <w:color w:val="000000"/>
          <w:spacing w:val="28"/>
        </w:rPr>
        <w:t>На программные продукты начисляется в установленном порядке амортизация по нормам на полное восстановление, установленным для электронно-вычислительных машин.</w:t>
      </w:r>
    </w:p>
    <w:p w:rsidR="009F5868" w:rsidRDefault="009F5868">
      <w:pPr>
        <w:shd w:val="clear" w:color="auto" w:fill="FFFFFF"/>
        <w:spacing w:line="360" w:lineRule="auto"/>
        <w:ind w:right="40" w:firstLine="284"/>
        <w:rPr>
          <w:spacing w:val="28"/>
        </w:rPr>
      </w:pPr>
      <w:r>
        <w:rPr>
          <w:color w:val="000000"/>
          <w:spacing w:val="28"/>
        </w:rPr>
        <w:t>Планирование и учет основных фондов предприятий информационно-вычислительного обслуживания ведутся в натуральном и стоимостном выражении. В натуральном выражении каждый вид основных фондов отражается в количественных показателях. Денежная оценка основных фондов необходима для анализа их динамики, планирования, расширенного воспроизводства, начисления амортизации, установления износа, определения себестоимости продукции и рентабельности предприятий информатики.</w:t>
      </w:r>
    </w:p>
    <w:p w:rsidR="009F5868" w:rsidRDefault="009F5868">
      <w:pPr>
        <w:shd w:val="clear" w:color="auto" w:fill="FFFFFF"/>
        <w:spacing w:line="360" w:lineRule="auto"/>
        <w:ind w:left="4" w:right="25" w:firstLine="292"/>
        <w:rPr>
          <w:spacing w:val="28"/>
        </w:rPr>
      </w:pPr>
      <w:r>
        <w:rPr>
          <w:color w:val="000000"/>
          <w:spacing w:val="28"/>
        </w:rPr>
        <w:t>Реконструкция основных фондов предприятий информатики осуществляется посредством капитального ремонта и капитальных вложений. Капитальные вложения обеспечивают простое и расширенное воспроизводство основных фондов, капитальный ремонт осуществляется для поддержания нормального функционирования средств вычислительной техники, оборудования, зданий.</w:t>
      </w:r>
    </w:p>
    <w:p w:rsidR="009F5868" w:rsidRDefault="009F5868">
      <w:pPr>
        <w:shd w:val="clear" w:color="auto" w:fill="FFFFFF"/>
        <w:spacing w:line="360" w:lineRule="auto"/>
        <w:ind w:left="7" w:right="25" w:firstLine="299"/>
        <w:rPr>
          <w:spacing w:val="28"/>
        </w:rPr>
      </w:pPr>
      <w:r>
        <w:rPr>
          <w:color w:val="000000"/>
          <w:spacing w:val="28"/>
        </w:rPr>
        <w:t>Основным источником простого воспроизводства основных фондов предприятий информатики служат амортизационные отчисления. При расширенном воспроизводстве для увеличения прироста основных фондов используется часть прибыли, ассигнования, целевые фонды и другие ресурсы.</w:t>
      </w:r>
    </w:p>
    <w:p w:rsidR="009F5868" w:rsidRDefault="009F5868">
      <w:pPr>
        <w:shd w:val="clear" w:color="auto" w:fill="FFFFFF"/>
        <w:spacing w:line="360" w:lineRule="auto"/>
        <w:ind w:left="11" w:right="11" w:firstLine="295"/>
        <w:rPr>
          <w:spacing w:val="28"/>
        </w:rPr>
      </w:pPr>
      <w:r>
        <w:rPr>
          <w:color w:val="000000"/>
          <w:spacing w:val="28"/>
        </w:rPr>
        <w:t>В процессе эксплуатации основные фонды переносят свою стоимость на информационные продукты в виде амортизационных отчислений. Амортизация представляет собой стоимостное выражение размера постепенного износа основных фондов, соответствующее части стоимости, переносимой на информационные продукты.</w:t>
      </w:r>
    </w:p>
    <w:p w:rsidR="009F5868" w:rsidRDefault="009F5868">
      <w:pPr>
        <w:shd w:val="clear" w:color="auto" w:fill="FFFFFF"/>
        <w:spacing w:line="360" w:lineRule="auto"/>
        <w:ind w:left="18" w:firstLine="299"/>
        <w:rPr>
          <w:spacing w:val="28"/>
        </w:rPr>
      </w:pPr>
      <w:r>
        <w:rPr>
          <w:color w:val="000000"/>
          <w:spacing w:val="28"/>
        </w:rPr>
        <w:t>Физический износ — это потеря средствами труда своих первоначальных качеств, утрата своей первоначальной потребительной стоимости из-за их использования. Физический износ наступает</w:t>
      </w:r>
      <w:r>
        <w:rPr>
          <w:color w:val="000000"/>
          <w:spacing w:val="28"/>
          <w:lang w:val="en-US"/>
        </w:rPr>
        <w:t xml:space="preserve"> </w:t>
      </w:r>
      <w:r>
        <w:rPr>
          <w:color w:val="000000"/>
          <w:spacing w:val="28"/>
        </w:rPr>
        <w:t>вследствие длительного времени эксплуатации средств вычислительной техники, а также в период их бездействия.</w:t>
      </w:r>
    </w:p>
    <w:p w:rsidR="009F5868" w:rsidRDefault="009F5868">
      <w:pPr>
        <w:shd w:val="clear" w:color="auto" w:fill="FFFFFF"/>
        <w:spacing w:line="360" w:lineRule="auto"/>
        <w:ind w:left="4" w:right="29" w:firstLine="302"/>
        <w:rPr>
          <w:spacing w:val="28"/>
        </w:rPr>
      </w:pPr>
      <w:r>
        <w:rPr>
          <w:color w:val="000000"/>
          <w:spacing w:val="28"/>
        </w:rPr>
        <w:t>Подвергаясь в процессе производства физическому износу, основные фонды теряют часть своей стоимости. Величина этого износа может быть определена исходя из установленного срока службы и фактической эксплуатации основных фондов по формуле:</w:t>
      </w:r>
    </w:p>
    <w:p w:rsidR="009F5868" w:rsidRDefault="009F5868">
      <w:pPr>
        <w:shd w:val="clear" w:color="auto" w:fill="FFFFFF"/>
        <w:spacing w:before="119" w:line="360" w:lineRule="auto"/>
        <w:ind w:right="54"/>
        <w:jc w:val="center"/>
        <w:rPr>
          <w:spacing w:val="28"/>
        </w:rPr>
      </w:pPr>
      <w:r>
        <w:rPr>
          <w:color w:val="000000"/>
          <w:spacing w:val="28"/>
        </w:rPr>
        <w:t>Ки = Т</w:t>
      </w:r>
      <w:r>
        <w:rPr>
          <w:color w:val="000000"/>
          <w:spacing w:val="28"/>
          <w:vertAlign w:val="subscript"/>
        </w:rPr>
        <w:t>Ф</w:t>
      </w:r>
      <w:r>
        <w:rPr>
          <w:color w:val="000000"/>
          <w:spacing w:val="28"/>
        </w:rPr>
        <w:t>/Т</w:t>
      </w:r>
      <w:r>
        <w:rPr>
          <w:color w:val="000000"/>
          <w:spacing w:val="28"/>
          <w:vertAlign w:val="subscript"/>
        </w:rPr>
        <w:t>Н</w:t>
      </w:r>
      <w:r>
        <w:rPr>
          <w:color w:val="000000"/>
          <w:spacing w:val="28"/>
        </w:rPr>
        <w:t xml:space="preserve"> х 100%,</w:t>
      </w:r>
    </w:p>
    <w:p w:rsidR="009F5868" w:rsidRDefault="009F5868">
      <w:pPr>
        <w:shd w:val="clear" w:color="auto" w:fill="FFFFFF"/>
        <w:spacing w:before="130" w:line="360" w:lineRule="auto"/>
        <w:ind w:left="11"/>
        <w:rPr>
          <w:spacing w:val="28"/>
        </w:rPr>
      </w:pPr>
      <w:r>
        <w:rPr>
          <w:color w:val="000000"/>
          <w:spacing w:val="28"/>
        </w:rPr>
        <w:t>где    Ки — коэффициент, характеризующий степень износа основных</w:t>
      </w:r>
    </w:p>
    <w:p w:rsidR="009F5868" w:rsidRDefault="009F5868">
      <w:pPr>
        <w:shd w:val="clear" w:color="auto" w:fill="FFFFFF"/>
        <w:spacing w:before="4" w:line="360" w:lineRule="auto"/>
        <w:ind w:left="1055"/>
        <w:rPr>
          <w:spacing w:val="28"/>
        </w:rPr>
      </w:pPr>
      <w:r>
        <w:rPr>
          <w:color w:val="000000"/>
          <w:spacing w:val="28"/>
        </w:rPr>
        <w:t>фондов, выраженный в процентах;</w:t>
      </w:r>
    </w:p>
    <w:p w:rsidR="009F5868" w:rsidRDefault="009F5868">
      <w:pPr>
        <w:shd w:val="clear" w:color="auto" w:fill="FFFFFF"/>
        <w:spacing w:line="360" w:lineRule="auto"/>
        <w:ind w:left="522"/>
        <w:rPr>
          <w:color w:val="000000"/>
          <w:spacing w:val="28"/>
        </w:rPr>
      </w:pPr>
      <w:r>
        <w:rPr>
          <w:color w:val="000000"/>
          <w:spacing w:val="28"/>
        </w:rPr>
        <w:t xml:space="preserve">Тф — фактический срок эксплуатации основных фондов, лет; </w:t>
      </w:r>
    </w:p>
    <w:p w:rsidR="009F5868" w:rsidRDefault="009F5868">
      <w:pPr>
        <w:shd w:val="clear" w:color="auto" w:fill="FFFFFF"/>
        <w:spacing w:line="360" w:lineRule="auto"/>
        <w:ind w:left="522"/>
        <w:rPr>
          <w:spacing w:val="28"/>
        </w:rPr>
      </w:pPr>
      <w:r>
        <w:rPr>
          <w:color w:val="000000"/>
          <w:spacing w:val="28"/>
        </w:rPr>
        <w:t>Тн — нормативный   срок   службы   (амортизационный   период) основных фондов, лет.</w:t>
      </w:r>
    </w:p>
    <w:p w:rsidR="009F5868" w:rsidRDefault="009F5868">
      <w:pPr>
        <w:shd w:val="clear" w:color="auto" w:fill="FFFFFF"/>
        <w:spacing w:line="360" w:lineRule="auto"/>
        <w:ind w:left="7" w:right="18" w:firstLine="299"/>
        <w:rPr>
          <w:spacing w:val="28"/>
        </w:rPr>
      </w:pPr>
      <w:r>
        <w:rPr>
          <w:color w:val="000000"/>
          <w:spacing w:val="28"/>
        </w:rPr>
        <w:t>Моральный износ основных фондов является следствием технического прогресса. Основные фонды, не успевая полностью перенести свою стоимость на вырабатываемую продукцию, устаревают и вследствие создания новых, более совершенных, производительных и дешевых видов средств обработки информации, имеющих улучшенные технико-экономические характеристики.</w:t>
      </w:r>
    </w:p>
    <w:p w:rsidR="009F5868" w:rsidRDefault="009F5868">
      <w:pPr>
        <w:shd w:val="clear" w:color="auto" w:fill="FFFFFF"/>
        <w:spacing w:line="360" w:lineRule="auto"/>
        <w:ind w:left="317"/>
        <w:rPr>
          <w:spacing w:val="28"/>
        </w:rPr>
      </w:pPr>
      <w:r>
        <w:rPr>
          <w:color w:val="000000"/>
          <w:spacing w:val="28"/>
        </w:rPr>
        <w:t>Существуют четыре варианта оценки основных средств.</w:t>
      </w:r>
    </w:p>
    <w:p w:rsidR="009F5868" w:rsidRDefault="009F5868">
      <w:pPr>
        <w:shd w:val="clear" w:color="auto" w:fill="FFFFFF"/>
        <w:spacing w:line="360" w:lineRule="auto"/>
        <w:ind w:left="18" w:right="11" w:firstLine="288"/>
        <w:rPr>
          <w:spacing w:val="28"/>
        </w:rPr>
      </w:pPr>
      <w:r>
        <w:rPr>
          <w:color w:val="000000"/>
          <w:spacing w:val="28"/>
        </w:rPr>
        <w:t>Полная первоначальная стоимость отражает фактические цены, по которым производилась оплата за приобретаемые (создаваемые) основные производственные фонды, включая затраты на их доставку и установку в конкретных условиях, то есть с учетом цен на сырье, материалы, энергоресурсы, транспортные тарифы и пр., действовавших на момент создания (приобретения) объекта.</w:t>
      </w:r>
    </w:p>
    <w:p w:rsidR="009F5868" w:rsidRDefault="009F5868">
      <w:pPr>
        <w:shd w:val="clear" w:color="auto" w:fill="FFFFFF"/>
        <w:spacing w:line="360" w:lineRule="auto"/>
        <w:ind w:left="25" w:right="4" w:firstLine="292"/>
        <w:rPr>
          <w:spacing w:val="28"/>
        </w:rPr>
      </w:pPr>
      <w:r>
        <w:rPr>
          <w:color w:val="000000"/>
          <w:spacing w:val="28"/>
        </w:rPr>
        <w:t>Затраты на приобретение (создание) основных средств, произведенные в разное время, обуславливают то, что одинаковые по своим потребительным свойствам объекты имеют неодинаковую первоначальную стоимость. Поэтому такая смешанная оценка не позволяет достоверно анализировать динамику объема основных средств.</w:t>
      </w:r>
    </w:p>
    <w:p w:rsidR="009F5868" w:rsidRDefault="009F5868">
      <w:pPr>
        <w:shd w:val="clear" w:color="auto" w:fill="FFFFFF"/>
        <w:spacing w:line="360" w:lineRule="auto"/>
        <w:ind w:left="32" w:firstLine="281"/>
        <w:rPr>
          <w:spacing w:val="28"/>
        </w:rPr>
      </w:pPr>
      <w:r>
        <w:rPr>
          <w:color w:val="000000"/>
          <w:spacing w:val="28"/>
        </w:rPr>
        <w:t>Первоначальная стоимость за вычетом износа соответствует полной первоначальной стоимости конкретного объекта на данный момент за вычетом суммы износа (эта сумма приравнивается к данным о начисленной за время существования объекта амортизации), образовавшейся к этому моменту.</w:t>
      </w:r>
    </w:p>
    <w:p w:rsidR="009F5868" w:rsidRDefault="009F5868">
      <w:pPr>
        <w:shd w:val="clear" w:color="auto" w:fill="FFFFFF"/>
        <w:spacing w:line="360" w:lineRule="auto"/>
        <w:ind w:right="32" w:firstLine="281"/>
        <w:rPr>
          <w:spacing w:val="28"/>
        </w:rPr>
      </w:pPr>
      <w:r>
        <w:rPr>
          <w:color w:val="000000"/>
          <w:spacing w:val="28"/>
        </w:rPr>
        <w:t>Полная восстановительная стоимость характеризует затраты на создание (приобретение) объекта в современных условиях. Она определяется в процессе переоценок основных средств, которые в России проводятся по специальным решениям правительства Российской Федерации.</w:t>
      </w:r>
    </w:p>
    <w:p w:rsidR="009F5868" w:rsidRDefault="009F5868">
      <w:pPr>
        <w:shd w:val="clear" w:color="auto" w:fill="FFFFFF"/>
        <w:spacing w:before="4" w:line="360" w:lineRule="auto"/>
        <w:ind w:right="32" w:firstLine="288"/>
        <w:rPr>
          <w:spacing w:val="28"/>
        </w:rPr>
      </w:pPr>
      <w:r>
        <w:rPr>
          <w:color w:val="000000"/>
          <w:spacing w:val="28"/>
        </w:rPr>
        <w:t>До перехода к рыночной экономике переоценка основных средств проводилась примерно один раз в десять лет. Это было возможно в условиях стабильных цен на товарно-материальные ценности.</w:t>
      </w:r>
    </w:p>
    <w:p w:rsidR="009F5868" w:rsidRDefault="009F5868">
      <w:pPr>
        <w:shd w:val="clear" w:color="auto" w:fill="FFFFFF"/>
        <w:spacing w:before="4" w:line="360" w:lineRule="auto"/>
        <w:ind w:right="14" w:firstLine="295"/>
        <w:rPr>
          <w:spacing w:val="28"/>
        </w:rPr>
      </w:pPr>
      <w:r>
        <w:rPr>
          <w:color w:val="000000"/>
          <w:spacing w:val="28"/>
        </w:rPr>
        <w:t>Следует отметить, что до перехода к рыночной экономике переоценки объектов основных средств производилась на основе специально разрабатываемых детальных ценников. Последние две переоценки осуществлялись по коэффициентам, централизованно установленным для отдельных групп объектов, причем эти коэффициенты дифференцировались в зависимости от времени приобретения объектов. Переход к рыночной экономике сопровождается ростом инфляции, поэтому переоценка основных средств проводится чаще.</w:t>
      </w:r>
    </w:p>
    <w:p w:rsidR="009F5868" w:rsidRDefault="009F5868">
      <w:pPr>
        <w:shd w:val="clear" w:color="auto" w:fill="FFFFFF"/>
        <w:spacing w:before="4" w:line="360" w:lineRule="auto"/>
        <w:ind w:left="4" w:right="18" w:firstLine="302"/>
        <w:rPr>
          <w:spacing w:val="28"/>
        </w:rPr>
      </w:pPr>
      <w:r>
        <w:rPr>
          <w:color w:val="000000"/>
          <w:spacing w:val="28"/>
        </w:rPr>
        <w:t>По состоянию на 1 июля 1992 года в Российской Федерации была произведена переоценка основных средств всеми предприятиями и организациями независимо от форм собственности.</w:t>
      </w:r>
    </w:p>
    <w:p w:rsidR="009F5868" w:rsidRDefault="009F5868">
      <w:pPr>
        <w:shd w:val="clear" w:color="auto" w:fill="FFFFFF"/>
        <w:spacing w:before="4" w:line="360" w:lineRule="auto"/>
        <w:ind w:right="11" w:firstLine="310"/>
        <w:rPr>
          <w:spacing w:val="28"/>
        </w:rPr>
      </w:pPr>
      <w:r>
        <w:rPr>
          <w:color w:val="000000"/>
          <w:spacing w:val="28"/>
        </w:rPr>
        <w:t>В целях создания дополнительных инвестиционных ресурсов в интересах структурной перестройки экономики России повторно переоценка основных средств была проведена по состоянию на 1 января 1994г.</w:t>
      </w:r>
    </w:p>
    <w:p w:rsidR="009F5868" w:rsidRDefault="009F5868">
      <w:pPr>
        <w:shd w:val="clear" w:color="auto" w:fill="FFFFFF"/>
        <w:spacing w:before="4" w:line="360" w:lineRule="auto"/>
        <w:ind w:right="11" w:firstLine="302"/>
        <w:rPr>
          <w:spacing w:val="28"/>
        </w:rPr>
      </w:pPr>
      <w:r>
        <w:rPr>
          <w:color w:val="000000"/>
          <w:spacing w:val="28"/>
        </w:rPr>
        <w:t>Отметим, что восстановительная стоимость совпадает с первоначальной в период ввода объектов в действие. Но по мере удаления от момента ввода восстановительная стоимость отличается первоначальной, так как изменяются условия воспроизводства основных средств.</w:t>
      </w:r>
    </w:p>
    <w:p w:rsidR="009F5868" w:rsidRDefault="009F5868">
      <w:pPr>
        <w:shd w:val="clear" w:color="auto" w:fill="FFFFFF"/>
        <w:spacing w:before="7" w:line="360" w:lineRule="auto"/>
        <w:ind w:left="4" w:right="7" w:firstLine="292"/>
        <w:rPr>
          <w:spacing w:val="28"/>
        </w:rPr>
      </w:pPr>
      <w:r>
        <w:rPr>
          <w:color w:val="000000"/>
          <w:spacing w:val="28"/>
        </w:rPr>
        <w:t>Восстановительная стоимость за вычетом износа характеризует фактическую степень изношенности объекта в новых условиях воспроизводства.</w:t>
      </w:r>
    </w:p>
    <w:p w:rsidR="009F5868" w:rsidRDefault="009F5868">
      <w:pPr>
        <w:shd w:val="clear" w:color="auto" w:fill="FFFFFF"/>
        <w:spacing w:line="360" w:lineRule="auto"/>
        <w:ind w:firstLine="292"/>
        <w:rPr>
          <w:spacing w:val="28"/>
        </w:rPr>
      </w:pPr>
      <w:r>
        <w:rPr>
          <w:color w:val="000000"/>
          <w:spacing w:val="28"/>
        </w:rPr>
        <w:t>В результате переоценки основные средства оцениваются по полной и остаточной стоимости (с учетом физического и морального износа) на дату ее проведения. Таким образом, в результате переоценки основные средства, числящиеся на балансе предприятия, имеют восстановительную стоимость на конкретную дату переоценки. Но после этого вводятся (приобретаются) новые объекты по полной первоначальной стоимости соответствующего периода. В силу этого основные средства вновь оказываются отраженными в бухгалтерском учете по смешанной балансовой стоимости.</w:t>
      </w:r>
    </w:p>
    <w:p w:rsidR="009F5868" w:rsidRDefault="009F5868">
      <w:pPr>
        <w:shd w:val="clear" w:color="auto" w:fill="FFFFFF"/>
        <w:spacing w:before="11" w:line="360" w:lineRule="auto"/>
        <w:ind w:right="7" w:firstLine="292"/>
        <w:rPr>
          <w:spacing w:val="28"/>
        </w:rPr>
      </w:pPr>
      <w:r>
        <w:rPr>
          <w:color w:val="000000"/>
          <w:spacing w:val="28"/>
        </w:rPr>
        <w:t>Восстановительная стоимость основных средств при последних двух переоценках определялась умножением балансовой стоимости групп однородных объектов на коэффициент пересчета. Для каждого вида основных средств применяется свой коэффициент пересчета в зависимости от года приобретения (создания). Для машин и оборудования эти коэффициенты конкретизировались по отраслям.</w:t>
      </w:r>
    </w:p>
    <w:p w:rsidR="009F5868" w:rsidRDefault="009F5868">
      <w:pPr>
        <w:shd w:val="clear" w:color="auto" w:fill="FFFFFF"/>
        <w:spacing w:before="14" w:line="360" w:lineRule="auto"/>
        <w:ind w:left="7" w:right="14" w:firstLine="295"/>
        <w:rPr>
          <w:spacing w:val="28"/>
        </w:rPr>
      </w:pPr>
      <w:r>
        <w:rPr>
          <w:color w:val="000000"/>
          <w:spacing w:val="28"/>
        </w:rPr>
        <w:t>Размер годового амортизационного фонда зависит от средней годовой стоимости основного капитала и нормы амортизации.</w:t>
      </w:r>
    </w:p>
    <w:p w:rsidR="009F5868" w:rsidRDefault="009F5868">
      <w:pPr>
        <w:shd w:val="clear" w:color="auto" w:fill="FFFFFF"/>
        <w:spacing w:before="14" w:line="360" w:lineRule="auto"/>
        <w:ind w:left="7" w:right="11" w:firstLine="295"/>
        <w:rPr>
          <w:spacing w:val="28"/>
        </w:rPr>
      </w:pPr>
      <w:r>
        <w:rPr>
          <w:color w:val="000000"/>
          <w:spacing w:val="28"/>
        </w:rPr>
        <w:t>Годовая норма амортизации (А</w:t>
      </w:r>
      <w:r>
        <w:rPr>
          <w:color w:val="000000"/>
          <w:spacing w:val="28"/>
          <w:vertAlign w:val="subscript"/>
        </w:rPr>
        <w:t>н</w:t>
      </w:r>
      <w:r>
        <w:rPr>
          <w:color w:val="000000"/>
          <w:spacing w:val="28"/>
        </w:rPr>
        <w:t>) определяется по следующей формуле:</w:t>
      </w:r>
    </w:p>
    <w:p w:rsidR="009F5868" w:rsidRDefault="009F5868">
      <w:pPr>
        <w:shd w:val="clear" w:color="auto" w:fill="FFFFFF"/>
        <w:spacing w:line="360" w:lineRule="auto"/>
        <w:ind w:right="54"/>
        <w:jc w:val="center"/>
        <w:rPr>
          <w:spacing w:val="28"/>
        </w:rPr>
      </w:pPr>
      <w:r>
        <w:rPr>
          <w:color w:val="000000"/>
          <w:spacing w:val="28"/>
        </w:rPr>
        <w:t>Ан=(Сп + Сл-С</w:t>
      </w:r>
      <w:r>
        <w:rPr>
          <w:color w:val="000000"/>
          <w:spacing w:val="28"/>
          <w:vertAlign w:val="subscript"/>
        </w:rPr>
        <w:t>у</w:t>
      </w:r>
      <w:r>
        <w:rPr>
          <w:color w:val="000000"/>
          <w:spacing w:val="28"/>
        </w:rPr>
        <w:t>)/Т,</w:t>
      </w:r>
    </w:p>
    <w:p w:rsidR="009F5868" w:rsidRDefault="009F5868">
      <w:pPr>
        <w:shd w:val="clear" w:color="auto" w:fill="FFFFFF"/>
        <w:spacing w:before="158" w:line="360" w:lineRule="auto"/>
        <w:ind w:left="4"/>
        <w:rPr>
          <w:spacing w:val="28"/>
        </w:rPr>
      </w:pPr>
      <w:r>
        <w:rPr>
          <w:color w:val="000000"/>
          <w:spacing w:val="28"/>
        </w:rPr>
        <w:t>где    С</w:t>
      </w:r>
      <w:r>
        <w:rPr>
          <w:color w:val="000000"/>
          <w:spacing w:val="28"/>
          <w:vertAlign w:val="subscript"/>
        </w:rPr>
        <w:t>п</w:t>
      </w:r>
      <w:r>
        <w:rPr>
          <w:color w:val="000000"/>
          <w:spacing w:val="28"/>
        </w:rPr>
        <w:t xml:space="preserve"> — полная первоначальная стоимость объекта ;</w:t>
      </w:r>
    </w:p>
    <w:p w:rsidR="009F5868" w:rsidRDefault="009F5868">
      <w:pPr>
        <w:shd w:val="clear" w:color="auto" w:fill="FFFFFF"/>
        <w:spacing w:line="360" w:lineRule="auto"/>
        <w:ind w:left="508"/>
        <w:rPr>
          <w:spacing w:val="28"/>
        </w:rPr>
      </w:pPr>
      <w:r>
        <w:rPr>
          <w:color w:val="000000"/>
          <w:spacing w:val="28"/>
        </w:rPr>
        <w:t>Сл — расходы на ликвидацию изношенного объекта;</w:t>
      </w:r>
    </w:p>
    <w:p w:rsidR="009F5868" w:rsidRDefault="009F5868">
      <w:pPr>
        <w:shd w:val="clear" w:color="auto" w:fill="FFFFFF"/>
        <w:spacing w:line="360" w:lineRule="auto"/>
        <w:ind w:left="1040" w:hanging="533"/>
        <w:rPr>
          <w:spacing w:val="28"/>
        </w:rPr>
      </w:pPr>
      <w:r>
        <w:rPr>
          <w:color w:val="000000"/>
          <w:spacing w:val="28"/>
        </w:rPr>
        <w:t>Су — возможная выручка от утилизации материалов и других элементов, полученных при ликвидации объекта;</w:t>
      </w:r>
    </w:p>
    <w:p w:rsidR="009F5868" w:rsidRDefault="009F5868">
      <w:pPr>
        <w:shd w:val="clear" w:color="auto" w:fill="FFFFFF"/>
        <w:spacing w:line="360" w:lineRule="auto"/>
        <w:ind w:left="515"/>
        <w:rPr>
          <w:spacing w:val="28"/>
        </w:rPr>
      </w:pPr>
      <w:r>
        <w:rPr>
          <w:color w:val="000000"/>
          <w:spacing w:val="28"/>
        </w:rPr>
        <w:t>Т — срок службы объекта в годах.</w:t>
      </w:r>
    </w:p>
    <w:p w:rsidR="009F5868" w:rsidRDefault="009F5868">
      <w:pPr>
        <w:shd w:val="clear" w:color="auto" w:fill="FFFFFF"/>
        <w:spacing w:line="360" w:lineRule="auto"/>
        <w:ind w:left="4" w:right="7" w:firstLine="292"/>
        <w:rPr>
          <w:spacing w:val="28"/>
        </w:rPr>
      </w:pPr>
      <w:r>
        <w:rPr>
          <w:color w:val="000000"/>
          <w:spacing w:val="28"/>
        </w:rPr>
        <w:t>В России нормы амортизационных отчислений устанавливались в законодательном порядке только на реновацию (так как затраты на все виды ремонтов относятся на текущие издержки производства, т.е. на себестоимость продукции).</w:t>
      </w:r>
    </w:p>
    <w:p w:rsidR="009F5868" w:rsidRDefault="009F5868">
      <w:pPr>
        <w:shd w:val="clear" w:color="auto" w:fill="FFFFFF"/>
        <w:spacing w:before="11" w:line="360" w:lineRule="auto"/>
        <w:ind w:left="7" w:firstLine="288"/>
        <w:rPr>
          <w:spacing w:val="28"/>
        </w:rPr>
      </w:pPr>
      <w:r>
        <w:rPr>
          <w:color w:val="000000"/>
          <w:spacing w:val="28"/>
        </w:rPr>
        <w:t>Амортизационные отчисления производятся на основе специальных норм (устанавливаемых в процентах к первоначальной стоимости). Нормы амортизационных отчислений дифференцированы по видам основных средств и установлены в расчете на год. Для определения ежемесячных амортизационных отчислений сумму амортизационных отчислений делят на 12. В течение года величина амортизационных отчислений может корректироваться в зависимости от поступления и выбытия основных средств. Амортизационные отчисления увеличиваются на соответствующую величину, начиная с месяца, следующего за вводом объекта в эксплуатацию, или уменьшаются, начиная с месяца, следующего за ликвидацией, продажей или передачей объекта.</w:t>
      </w:r>
    </w:p>
    <w:p w:rsidR="009F5868" w:rsidRDefault="009F5868">
      <w:pPr>
        <w:shd w:val="clear" w:color="auto" w:fill="FFFFFF"/>
        <w:spacing w:line="360" w:lineRule="auto"/>
        <w:ind w:left="7" w:right="18" w:firstLine="281"/>
        <w:rPr>
          <w:spacing w:val="28"/>
        </w:rPr>
      </w:pPr>
      <w:r>
        <w:rPr>
          <w:color w:val="000000"/>
          <w:spacing w:val="28"/>
        </w:rPr>
        <w:t>Существует много различных способов начисления амортизации, но на практике чаще используют линейный, ускоренный и по остаточной стоимости.</w:t>
      </w:r>
    </w:p>
    <w:p w:rsidR="009F5868" w:rsidRDefault="009F5868">
      <w:pPr>
        <w:shd w:val="clear" w:color="auto" w:fill="FFFFFF"/>
        <w:spacing w:line="360" w:lineRule="auto"/>
        <w:ind w:left="4" w:right="7" w:firstLine="288"/>
        <w:rPr>
          <w:spacing w:val="28"/>
        </w:rPr>
      </w:pPr>
      <w:r>
        <w:rPr>
          <w:color w:val="000000"/>
          <w:spacing w:val="28"/>
        </w:rPr>
        <w:t>При линейном способе погашение стоимости объекта производится равными частями в течение всего срока эксплуатации.</w:t>
      </w:r>
    </w:p>
    <w:p w:rsidR="009F5868" w:rsidRDefault="009F5868">
      <w:pPr>
        <w:shd w:val="clear" w:color="auto" w:fill="FFFFFF"/>
        <w:spacing w:line="360" w:lineRule="auto"/>
        <w:ind w:firstLine="292"/>
        <w:rPr>
          <w:color w:val="000000"/>
          <w:spacing w:val="28"/>
        </w:rPr>
      </w:pPr>
      <w:r>
        <w:rPr>
          <w:color w:val="000000"/>
          <w:spacing w:val="28"/>
        </w:rPr>
        <w:t>Ускоренная амортизация активной части основных средств предназначена для структурной перестройки производства и его модернизации. Она проводится исходя из увеличения нормы амортизационных отчислений, применяемой ежегодно к остаточной стоимости объекта.</w:t>
      </w:r>
    </w:p>
    <w:p w:rsidR="009F5868" w:rsidRDefault="009F5868">
      <w:pPr>
        <w:shd w:val="clear" w:color="auto" w:fill="FFFFFF"/>
        <w:spacing w:line="245" w:lineRule="exact"/>
        <w:ind w:firstLine="292"/>
      </w:pPr>
      <w:r>
        <w:rPr>
          <w:color w:val="000000"/>
          <w:spacing w:val="-6"/>
        </w:rPr>
        <w:br w:type="page"/>
      </w:r>
    </w:p>
    <w:p w:rsidR="009F5868" w:rsidRDefault="009F5868">
      <w:pPr>
        <w:pStyle w:val="1"/>
        <w:numPr>
          <w:ilvl w:val="0"/>
          <w:numId w:val="0"/>
        </w:numPr>
      </w:pPr>
      <w:r>
        <w:t>СПИСОК</w:t>
      </w:r>
    </w:p>
    <w:p w:rsidR="009F5868" w:rsidRDefault="009F5868">
      <w:pPr>
        <w:jc w:val="center"/>
        <w:rPr>
          <w:b/>
        </w:rPr>
      </w:pPr>
      <w:r>
        <w:rPr>
          <w:b/>
        </w:rPr>
        <w:t>использованной литературы</w:t>
      </w:r>
    </w:p>
    <w:p w:rsidR="009F5868" w:rsidRDefault="009F5868">
      <w:pPr>
        <w:jc w:val="center"/>
        <w:rPr>
          <w:b/>
        </w:rPr>
      </w:pPr>
    </w:p>
    <w:p w:rsidR="009F5868" w:rsidRDefault="009F5868">
      <w:pPr>
        <w:jc w:val="center"/>
        <w:rPr>
          <w:b/>
        </w:rPr>
      </w:pPr>
    </w:p>
    <w:p w:rsidR="009F5868" w:rsidRDefault="009F5868">
      <w:pPr>
        <w:numPr>
          <w:ilvl w:val="0"/>
          <w:numId w:val="24"/>
        </w:numPr>
      </w:pPr>
      <w:r>
        <w:t>В.Н.Бугорский, Р.В.Соколов Экономика и проектирование информационных систем. - Санкт-Петербург: РИФ «Роза мира»,1998.</w:t>
      </w:r>
    </w:p>
    <w:p w:rsidR="009F5868" w:rsidRDefault="009F5868">
      <w:pPr>
        <w:numPr>
          <w:ilvl w:val="0"/>
          <w:numId w:val="24"/>
        </w:numPr>
      </w:pPr>
      <w:r>
        <w:t>Львов Ю.А. Основы экономики и организации бизнеса. – СПб, ГМП «Формика», 1992.</w:t>
      </w:r>
    </w:p>
    <w:p w:rsidR="009F5868" w:rsidRDefault="009F5868">
      <w:pPr>
        <w:numPr>
          <w:ilvl w:val="0"/>
          <w:numId w:val="24"/>
        </w:numPr>
      </w:pPr>
      <w:r>
        <w:t>Бугорский В.Н. Информационные системы в экономике: экономика информации. – СПб: СПбГИЭА, 1997.</w:t>
      </w:r>
    </w:p>
    <w:p w:rsidR="009F5868" w:rsidRDefault="009F5868">
      <w:pPr>
        <w:numPr>
          <w:ilvl w:val="0"/>
          <w:numId w:val="24"/>
        </w:numPr>
      </w:pPr>
      <w:r>
        <w:t>Дик В.В., Бебенева Е.В., Божко В.П.  и др. Информационные системы в экономике. – М.: Финансы и статистика, 1996.</w:t>
      </w:r>
    </w:p>
    <w:p w:rsidR="009F5868" w:rsidRDefault="009F5868">
      <w:pPr>
        <w:numPr>
          <w:ilvl w:val="0"/>
          <w:numId w:val="24"/>
        </w:numPr>
      </w:pPr>
      <w:r>
        <w:t>Соколов Р.В. Проектирование информационных систем в экономике, СПбГИЭА. – СПб, 1996.</w:t>
      </w:r>
    </w:p>
    <w:p w:rsidR="009F5868" w:rsidRDefault="009F5868">
      <w:bookmarkStart w:id="0" w:name="_GoBack"/>
      <w:bookmarkEnd w:id="0"/>
    </w:p>
    <w:sectPr w:rsidR="009F5868">
      <w:headerReference w:type="even" r:id="rId7"/>
      <w:headerReference w:type="default" r:id="rId8"/>
      <w:pgSz w:w="11906" w:h="16838"/>
      <w:pgMar w:top="1440" w:right="1800" w:bottom="1440" w:left="180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68" w:rsidRDefault="009F5868">
      <w:r>
        <w:separator/>
      </w:r>
    </w:p>
  </w:endnote>
  <w:endnote w:type="continuationSeparator" w:id="0">
    <w:p w:rsidR="009F5868" w:rsidRDefault="009F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68" w:rsidRDefault="009F5868">
      <w:r>
        <w:separator/>
      </w:r>
    </w:p>
  </w:footnote>
  <w:footnote w:type="continuationSeparator" w:id="0">
    <w:p w:rsidR="009F5868" w:rsidRDefault="009F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68" w:rsidRDefault="009F5868">
    <w:pPr>
      <w:pStyle w:val="a5"/>
      <w:framePr w:wrap="around" w:vAnchor="text" w:hAnchor="margin" w:xAlign="right" w:y="1"/>
      <w:rPr>
        <w:rStyle w:val="a6"/>
      </w:rPr>
    </w:pPr>
  </w:p>
  <w:p w:rsidR="009F5868" w:rsidRDefault="009F586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68" w:rsidRDefault="0092023B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9F5868" w:rsidRDefault="009F58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3A05"/>
    <w:multiLevelType w:val="multilevel"/>
    <w:tmpl w:val="8DAED55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8F0586A"/>
    <w:multiLevelType w:val="multilevel"/>
    <w:tmpl w:val="5EECF3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A276F87"/>
    <w:multiLevelType w:val="multilevel"/>
    <w:tmpl w:val="C888B722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DED4449"/>
    <w:multiLevelType w:val="multilevel"/>
    <w:tmpl w:val="E0FCB12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5137E52"/>
    <w:multiLevelType w:val="multilevel"/>
    <w:tmpl w:val="A2A8AB4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45949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0A01799"/>
    <w:multiLevelType w:val="multilevel"/>
    <w:tmpl w:val="55EEEAC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25D61C5"/>
    <w:multiLevelType w:val="multilevel"/>
    <w:tmpl w:val="EDB26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1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65BE05FB"/>
    <w:multiLevelType w:val="multilevel"/>
    <w:tmpl w:val="91B07BC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9884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063D71"/>
    <w:multiLevelType w:val="multilevel"/>
    <w:tmpl w:val="9B1021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AAA24CB"/>
    <w:multiLevelType w:val="multilevel"/>
    <w:tmpl w:val="40DE0FD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3)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4"/>
  </w:num>
  <w:num w:numId="14">
    <w:abstractNumId w:val="10"/>
  </w:num>
  <w:num w:numId="15">
    <w:abstractNumId w:val="6"/>
  </w:num>
  <w:num w:numId="16">
    <w:abstractNumId w:val="11"/>
  </w:num>
  <w:num w:numId="17">
    <w:abstractNumId w:val="11"/>
  </w:num>
  <w:num w:numId="18">
    <w:abstractNumId w:val="6"/>
  </w:num>
  <w:num w:numId="19">
    <w:abstractNumId w:val="4"/>
  </w:num>
  <w:num w:numId="20">
    <w:abstractNumId w:val="4"/>
  </w:num>
  <w:num w:numId="21">
    <w:abstractNumId w:val="1"/>
  </w:num>
  <w:num w:numId="22">
    <w:abstractNumId w:val="2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23B"/>
    <w:rsid w:val="00535021"/>
    <w:rsid w:val="0092023B"/>
    <w:rsid w:val="009F5868"/>
    <w:rsid w:val="00E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DE02C-C3B6-457F-8F5F-2A0C264F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851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22"/>
      </w:numPr>
      <w:spacing w:before="360" w:after="240"/>
      <w:jc w:val="center"/>
      <w:outlineLvl w:val="0"/>
    </w:pPr>
    <w:rPr>
      <w:rFonts w:ascii="Arial" w:hAnsi="Arial"/>
      <w:b/>
      <w:kern w:val="28"/>
      <w:sz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8"/>
      </w:numPr>
      <w:spacing w:before="240" w:after="12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7"/>
      </w:numPr>
      <w:spacing w:before="240" w:after="60"/>
      <w:jc w:val="left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21"/>
      </w:numPr>
      <w:spacing w:before="240" w:after="60"/>
      <w:outlineLvl w:val="3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3"/>
    <w:next w:val="a3"/>
    <w:autoRedefine/>
    <w:pPr>
      <w:numPr>
        <w:ilvl w:val="1"/>
        <w:numId w:val="2"/>
      </w:numPr>
      <w:spacing w:before="360" w:after="240"/>
      <w:jc w:val="center"/>
    </w:pPr>
    <w:rPr>
      <w:b w:val="0"/>
      <w:i w:val="0"/>
    </w:rPr>
  </w:style>
  <w:style w:type="paragraph" w:styleId="a3">
    <w:name w:val="Body Text Indent"/>
    <w:basedOn w:val="a"/>
    <w:semiHidden/>
    <w:pPr>
      <w:spacing w:after="120"/>
      <w:ind w:left="283"/>
    </w:pPr>
  </w:style>
  <w:style w:type="paragraph" w:styleId="a4">
    <w:name w:val="Block Text"/>
    <w:basedOn w:val="a"/>
    <w:semiHidden/>
    <w:pPr>
      <w:shd w:val="clear" w:color="auto" w:fill="FFFFFF"/>
      <w:spacing w:line="295" w:lineRule="exact"/>
      <w:ind w:left="562" w:right="1555" w:hanging="547"/>
      <w:jc w:val="center"/>
    </w:pPr>
    <w:rPr>
      <w:rFonts w:ascii="Arial" w:hAnsi="Arial"/>
      <w:b/>
      <w:kern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Title"/>
    <w:basedOn w:val="a"/>
    <w:qFormat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Надежда Павловна</dc:creator>
  <cp:keywords/>
  <dc:description/>
  <cp:lastModifiedBy>admin</cp:lastModifiedBy>
  <cp:revision>2</cp:revision>
  <cp:lastPrinted>2002-06-25T09:30:00Z</cp:lastPrinted>
  <dcterms:created xsi:type="dcterms:W3CDTF">2014-02-08T10:56:00Z</dcterms:created>
  <dcterms:modified xsi:type="dcterms:W3CDTF">2014-02-08T10:56:00Z</dcterms:modified>
</cp:coreProperties>
</file>