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kern w:val="28"/>
          <w:sz w:val="28"/>
          <w:szCs w:val="28"/>
        </w:rPr>
      </w:pPr>
      <w:r w:rsidRPr="00D42288">
        <w:rPr>
          <w:b/>
          <w:bCs/>
          <w:caps/>
          <w:kern w:val="28"/>
          <w:sz w:val="28"/>
          <w:szCs w:val="28"/>
        </w:rPr>
        <w:t>Денежные потоки: опыт управления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Неумение управлять денежными потоками - одна из причин неэффективного использования денежных средств, приводящая к нарушению финансового равновесия и экономическому кризису на предприятии. Разумеется, ни один руководитель не заинтересован в такой ситуации. Представленный в статье подход к управлению денежными потоками предприятия позволяет увязать приток и отток денежных средств, что дает возможность своевременно предупредить негативные явления, если в какой-либо момент текущей деятельности на предприятии возникают сбои в поступлении средств.</w:t>
      </w:r>
    </w:p>
    <w:p w:rsidR="00EA2A7C" w:rsidRPr="00D42288" w:rsidRDefault="00BC38A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aps/>
          <w:kern w:val="28"/>
          <w:sz w:val="28"/>
          <w:szCs w:val="28"/>
        </w:rPr>
      </w:pPr>
      <w:r w:rsidRPr="00D42288">
        <w:rPr>
          <w:bCs/>
          <w:caps/>
          <w:kern w:val="28"/>
          <w:sz w:val="28"/>
          <w:szCs w:val="28"/>
        </w:rPr>
        <w:br w:type="page"/>
      </w:r>
      <w:r w:rsidR="00EA2A7C" w:rsidRPr="00D42288">
        <w:rPr>
          <w:bCs/>
          <w:caps/>
          <w:kern w:val="28"/>
          <w:sz w:val="28"/>
          <w:szCs w:val="28"/>
        </w:rPr>
        <w:t>Прежде чем приступить к управлению ДП...</w:t>
      </w:r>
    </w:p>
    <w:p w:rsidR="00BC38AC" w:rsidRPr="00D42288" w:rsidRDefault="00BC38A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Управление денежными потоками осуществляется в рамках финансовой политики предприятия, задача которой - построить эффективную систему управления финансами, обеспечивающую достижение предприятием стратегических и тактических целей.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Денежный поток предприятия представляет собой совокупность распределенных по временным интервалам поступлений и выплат денежных средств, генерируемых его хозяйственной деятельностью.</w:t>
      </w:r>
    </w:p>
    <w:p w:rsidR="00EA2A7C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  <w:r w:rsidRPr="00D42288">
        <w:rPr>
          <w:kern w:val="28"/>
          <w:sz w:val="28"/>
          <w:szCs w:val="28"/>
        </w:rPr>
        <w:t>Как видно из данного определения, основу денежных потоков составляют денежные средства, для которых характерна прямая трансформация в различные формы капитала и обратная трансформация капитала в денежные средства (рис. 1).</w:t>
      </w:r>
    </w:p>
    <w:p w:rsidR="00D42288" w:rsidRPr="00D42288" w:rsidRDefault="00D42288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EA2A7C" w:rsidRPr="00D42288" w:rsidRDefault="00494FC9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81pt">
            <v:imagedata r:id="rId7" o:title=""/>
          </v:shape>
        </w:pic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vertAlign w:val="superscript"/>
        </w:rPr>
      </w:pPr>
      <w:r w:rsidRPr="00D42288">
        <w:rPr>
          <w:kern w:val="28"/>
          <w:sz w:val="28"/>
          <w:szCs w:val="28"/>
          <w:vertAlign w:val="superscript"/>
        </w:rPr>
        <w:t>Рисунок 1. Взаимосвязь денежных средств и форм капитала предприятия</w:t>
      </w:r>
    </w:p>
    <w:p w:rsidR="00D42288" w:rsidRDefault="00D42288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Денежные средства субъекта хозяйствования во всех формах и видах являются объектом управления. Процесс управления складывается из многих функций. Основные из них: планирование, учет и анализ. Каждая функция характеризуется присущим ей технологическим процессом обработки информации и способом воздействия на управляемый объект.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Денежный поток предприятия тесно связан с денежными средствами и как следствие с формированием, распределением и использованием капитала. Основу процесса управления денежными средствами составляют: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- учет движения денежных средств;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- анализ их потоков;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- составление бюджета денежных средств.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Денежный поток представляет собой комплексный и интегрированный показатель. Сложная и многообразная финансово-хозяйственная деятельность субъектов хозяйствования порождает такие же сложные денежные потоки, которые классифицируются по различным признакам. Они систематизируются и подлежат управлению по видам деятельности, источникам поступления, направлениям использования денежных средств и т.д.</w:t>
      </w:r>
    </w:p>
    <w:p w:rsidR="00BC38AC" w:rsidRPr="00D42288" w:rsidRDefault="00BC38A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kern w:val="28"/>
          <w:sz w:val="28"/>
          <w:szCs w:val="28"/>
          <w:lang w:val="en-US"/>
        </w:rPr>
      </w:pP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kern w:val="28"/>
          <w:sz w:val="28"/>
          <w:szCs w:val="28"/>
        </w:rPr>
      </w:pPr>
      <w:r w:rsidRPr="00D42288">
        <w:rPr>
          <w:b/>
          <w:bCs/>
          <w:iCs/>
          <w:kern w:val="28"/>
          <w:sz w:val="28"/>
          <w:szCs w:val="28"/>
        </w:rPr>
        <w:t>1. Учет движения денежных средств.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Учет движения денежных средств на предприятии осуществляется в соответствии с Законом РБ "О бухгалтерском учете", постановлением Минфина РБ от 17.02.2004 № 16 "О бухгалтерской отчетности организаций", Инструкцией о порядке формирования показателей бухгалтерской отчетности, утвержденной постановлением Минфина РБ от 17.02.2004 № 16.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Показатели, характеризующие источники и факторы формирования денежных средств, их остаток и чистый финансовый результат, отражаются в форме № 4 "Отчет о движении денежных средств", форме № 2 "Отчет о прибылях и убытках", форме № 5 приложения к "Бухгалтерскому балансу" и форме № 1 "Бухгалтерский баланс".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Использование наряду с формой № 4 форм № 1, 2 и 5 позволяет выявить наиболее полный перечень достоверных факторов, оказывающих прямые и косвенные воздействия на движение денежных средств и их остаток. В свою очередь, бухгалтерская отчетность является информационной базой для системного анализа сформировавшихся денежных потоков на уровне предприятия и на уровне структурных подразделений.</w:t>
      </w:r>
    </w:p>
    <w:p w:rsidR="00D42288" w:rsidRDefault="00D42288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kern w:val="28"/>
          <w:sz w:val="28"/>
          <w:szCs w:val="28"/>
          <w:lang w:val="en-US"/>
        </w:rPr>
      </w:pP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kern w:val="28"/>
          <w:sz w:val="28"/>
          <w:szCs w:val="28"/>
        </w:rPr>
      </w:pPr>
      <w:r w:rsidRPr="00D42288">
        <w:rPr>
          <w:b/>
          <w:bCs/>
          <w:iCs/>
          <w:kern w:val="28"/>
          <w:sz w:val="28"/>
          <w:szCs w:val="28"/>
        </w:rPr>
        <w:t>2. Анализ потоков денежных средств.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Основная цель анализа - выявление уровня достаточности формирования денежных средств, эффективности их использования, а также сбалансированности положительных и отрицательных денежных потоков предприятия по объему и во времени.</w:t>
      </w:r>
    </w:p>
    <w:p w:rsidR="00EA2A7C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  <w:r w:rsidRPr="00D42288">
        <w:rPr>
          <w:kern w:val="28"/>
          <w:sz w:val="28"/>
          <w:szCs w:val="28"/>
        </w:rPr>
        <w:t>Потоки денежных средств анализируются по трем видам деятельности: основной, инвестиционной и финансовой (рис. 2).</w:t>
      </w:r>
    </w:p>
    <w:p w:rsidR="00D42288" w:rsidRPr="00D42288" w:rsidRDefault="00D42288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EA2A7C" w:rsidRPr="00D42288" w:rsidRDefault="00494FC9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pict>
          <v:shape id="_x0000_i1026" type="#_x0000_t75" style="width:173.25pt;height:248.25pt">
            <v:imagedata r:id="rId8" o:title=""/>
          </v:shape>
        </w:pic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vertAlign w:val="superscript"/>
        </w:rPr>
      </w:pPr>
      <w:r w:rsidRPr="00D42288">
        <w:rPr>
          <w:kern w:val="28"/>
          <w:sz w:val="28"/>
          <w:szCs w:val="28"/>
          <w:vertAlign w:val="superscript"/>
        </w:rPr>
        <w:t>Рисунок 2. Потоки денежных средств</w:t>
      </w:r>
    </w:p>
    <w:p w:rsidR="00D42288" w:rsidRDefault="00D42288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По итогам анализа необходимо получить ответ как минимум на следующие вопросы: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- способно ли предприятие результатами своей текущей деятельности обеспечить превышение поступлений денежных средств над платежами и как долгосрочно такое превышение;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- достаточно ли собственных средств предприятия для финансирования инвестиционной деятельности;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- достаточно ли прибыли для удовлетворения текущей потребности в денежных средствах;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- в чем причина разницы между величиной прибыли по учетным данным и фактически полученным объемом денежных средств.</w:t>
      </w:r>
    </w:p>
    <w:p w:rsidR="00EA2A7C" w:rsidRPr="00D42288" w:rsidRDefault="00D42288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kern w:val="28"/>
          <w:sz w:val="28"/>
          <w:szCs w:val="28"/>
        </w:rPr>
      </w:pPr>
      <w:r w:rsidRPr="00D42288">
        <w:rPr>
          <w:bCs/>
          <w:iCs/>
          <w:kern w:val="28"/>
          <w:sz w:val="28"/>
          <w:szCs w:val="28"/>
        </w:rPr>
        <w:br w:type="page"/>
      </w:r>
      <w:r w:rsidR="00EA2A7C" w:rsidRPr="00D42288">
        <w:rPr>
          <w:b/>
          <w:bCs/>
          <w:iCs/>
          <w:kern w:val="28"/>
          <w:sz w:val="28"/>
          <w:szCs w:val="28"/>
        </w:rPr>
        <w:t>3. Составление бюджета денежных средств (бюджетирование).</w:t>
      </w:r>
    </w:p>
    <w:p w:rsidR="00D42288" w:rsidRDefault="00D42288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Цель составления бюджета денежных средств заключается в расчете необходимого объема денежных средств и определении моментов, когда у предприятия ожидается их недостаток или избыток, чтобы рационально использовать денежные средства предприятия и избежать кризиса.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Бюджет денежных средств - это смета ожидаемых поступлений и выплат денежных средств за определенный период времени. В свою очередь, смета - это план предстоящих расходов и поступлений денежных средств. Таким образом, бюджетирование представляет процесс планирования поступлений и расхода денежных средств за определенный период времени.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Данные бюджета денежных средств являются составной частью совокупного бюджета предприятия и связаны с данными планов (прогнозов) по всем видам деятельности.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По основной деятельности - с данными планов продаж, закупок, расходов на оплату труда, общепроизводственных, коммерческих и управленческих расходов, сметой налогов и отчислений.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По инвестиционной - с данными планов (прогнозов) поступлений от инвестиций и капитальных затрат.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По финансовой деятельности - с проектом выпуска акций предприятия, кредитным договором по финансовой деятельности предприятия.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Достоверность показателей поступлений бюджета денежных средств зависит, в первую очередь, от плана (прогноза) продаж и периода инкассирования дебиторской задолженности.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kern w:val="28"/>
          <w:sz w:val="28"/>
          <w:szCs w:val="28"/>
        </w:rPr>
      </w:pPr>
      <w:r w:rsidRPr="00D42288">
        <w:rPr>
          <w:bCs/>
          <w:iCs/>
          <w:kern w:val="28"/>
          <w:sz w:val="28"/>
          <w:szCs w:val="28"/>
        </w:rPr>
        <w:t>ПРИМЕР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План продаж разрабатывается на текущий период по всему ассортименту продукции на основании портфеля заказов (табл. 1).</w:t>
      </w:r>
    </w:p>
    <w:p w:rsidR="00EA2A7C" w:rsidRPr="00D42288" w:rsidRDefault="00C9733A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  <w:lang w:val="en-US"/>
        </w:rPr>
        <w:br w:type="page"/>
      </w:r>
      <w:r w:rsidR="00EA2A7C" w:rsidRPr="00D42288">
        <w:rPr>
          <w:bCs/>
          <w:kern w:val="28"/>
          <w:sz w:val="28"/>
          <w:szCs w:val="28"/>
        </w:rPr>
        <w:t>ТАБЛИЦА 1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kern w:val="28"/>
          <w:sz w:val="28"/>
          <w:szCs w:val="28"/>
        </w:rPr>
      </w:pPr>
      <w:r w:rsidRPr="00D42288">
        <w:rPr>
          <w:bCs/>
          <w:iCs/>
          <w:kern w:val="28"/>
          <w:sz w:val="28"/>
          <w:szCs w:val="28"/>
        </w:rPr>
        <w:t>План продаж предприятия "Альфа", тыс. руб.</w:t>
      </w:r>
    </w:p>
    <w:p w:rsidR="00EA2A7C" w:rsidRPr="00D42288" w:rsidRDefault="00494FC9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kern w:val="28"/>
          <w:sz w:val="28"/>
          <w:szCs w:val="28"/>
        </w:rPr>
      </w:pPr>
      <w:r>
        <w:rPr>
          <w:bCs/>
          <w:iCs/>
          <w:kern w:val="28"/>
          <w:sz w:val="28"/>
          <w:szCs w:val="28"/>
        </w:rPr>
        <w:pict>
          <v:shape id="_x0000_i1027" type="#_x0000_t75" style="width:420.75pt;height:71.25pt">
            <v:imagedata r:id="rId9" o:title=""/>
          </v:shape>
        </w:pict>
      </w:r>
    </w:p>
    <w:p w:rsidR="00C9733A" w:rsidRDefault="00C9733A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С учетом периода инкассации дебиторской задолженности, установленного в договорах, заключенных предприятием с покупателем продукции, план продаж будет отличаться от плана поступления денежных средств. Для расчета плановых поступлений необходимо определить удельный вес продукции, оплачиваемой по периодам.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Для нашего примера зададим следующий порядок расчета: 50% от продаж оплачивается в месяце отгрузки продукции; 30% - во втором месяце; 20% - в третьем месяце.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Поступление денежных средств от продаж по месяцам рассчитывается следующим образом:</w:t>
      </w:r>
    </w:p>
    <w:p w:rsidR="00EA2A7C" w:rsidRPr="00D42288" w:rsidRDefault="00EA2A7C" w:rsidP="00C9733A">
      <w:pPr>
        <w:autoSpaceDE w:val="0"/>
        <w:autoSpaceDN w:val="0"/>
        <w:adjustRightInd w:val="0"/>
        <w:spacing w:line="360" w:lineRule="auto"/>
        <w:ind w:left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1-й месяц 5 110 х 0,5 = 2 555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2-й месяц 5 110 х 0,3 = 1 533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5 350 х 0,5 = 2 675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Итого: 4 208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3-й месяц 5 110 х 0,2 = 1 022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5 350 х 0,3 = 1 605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5 720 х 0,5 = 2 860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Итого: 5 487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4-й месяц 5 350 х 0,2 = 1 070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5 720 х 0,3 = 1 716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5 370 х 0,5 = 2 685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Итого: 5 471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5-й месяц 5 720 х 0,2 = 1 144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5 370 х 0,3 = 1 611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6 080 х 0,5 = 3 040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Итого: 5 795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6-й месяц 5 370 х 0,2 = 1 074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6 080 х 0,3 = 1 824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6 000 х 0,5 = 3 000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Итого: 5 898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Всего за 6 месяцев поступления от продажи составят 29 414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Планирование поступлений денежных средств, как и планирование ряда других экономических показателей, должно осуществляться с учетом переходящего остатка притока денежных средств на начало планового периода. К таким переходящим остаткам относится дебиторская задолженность прошлого периода, подлежащая погашению в текущем.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В нашем примере определим, что погашается задолженность в размере 850 тыс. руб. в 1-ом месяце и в размере 940 тыс. руб. - во 2-ом. Таким образом, итог плановых поступлений денежных средств от продаж в плановом периоде составляет:</w:t>
      </w:r>
    </w:p>
    <w:p w:rsidR="00EA2A7C" w:rsidRPr="00D42288" w:rsidRDefault="00EA2A7C" w:rsidP="00C9733A">
      <w:pPr>
        <w:autoSpaceDE w:val="0"/>
        <w:autoSpaceDN w:val="0"/>
        <w:adjustRightInd w:val="0"/>
        <w:spacing w:line="360" w:lineRule="auto"/>
        <w:ind w:left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29 414 + 850 + 940 = 31 204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Для удобства пользования плановые показатели и их значения целесообразно сгруппировать в таблицу (табл. 2).</w:t>
      </w:r>
    </w:p>
    <w:p w:rsidR="00EA2A7C" w:rsidRPr="00D42288" w:rsidRDefault="00C9733A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kern w:val="28"/>
          <w:sz w:val="28"/>
          <w:szCs w:val="28"/>
        </w:rPr>
      </w:pPr>
      <w:r>
        <w:rPr>
          <w:bCs/>
          <w:iCs/>
          <w:kern w:val="28"/>
          <w:sz w:val="28"/>
          <w:szCs w:val="28"/>
          <w:lang w:val="en-US"/>
        </w:rPr>
        <w:br w:type="page"/>
      </w:r>
      <w:r w:rsidR="00EA2A7C" w:rsidRPr="00D42288">
        <w:rPr>
          <w:bCs/>
          <w:iCs/>
          <w:kern w:val="28"/>
          <w:sz w:val="28"/>
          <w:szCs w:val="28"/>
        </w:rPr>
        <w:t>ТАБЛИЦА 2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42288">
        <w:rPr>
          <w:bCs/>
          <w:kern w:val="28"/>
          <w:sz w:val="28"/>
          <w:szCs w:val="28"/>
        </w:rPr>
        <w:t>План поступлений денежных средств от продаж, тыс. руб.</w:t>
      </w:r>
    </w:p>
    <w:p w:rsidR="00EA2A7C" w:rsidRPr="00D42288" w:rsidRDefault="00494FC9" w:rsidP="00D42288">
      <w:pPr>
        <w:autoSpaceDE w:val="0"/>
        <w:autoSpaceDN w:val="0"/>
        <w:adjustRightInd w:val="0"/>
        <w:spacing w:line="360" w:lineRule="auto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pict>
          <v:shape id="_x0000_i1028" type="#_x0000_t75" style="width:462pt;height:267.75pt">
            <v:imagedata r:id="rId10" o:title=""/>
          </v:shape>
        </w:pict>
      </w:r>
    </w:p>
    <w:p w:rsidR="00D42288" w:rsidRDefault="00D42288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Показатели расчета позволяют определить переходящий остаток дебиторской задолженности, подлежащей погашению в следующем периоде:</w:t>
      </w:r>
    </w:p>
    <w:p w:rsidR="00EA2A7C" w:rsidRPr="00D42288" w:rsidRDefault="00EA2A7C" w:rsidP="00C9733A">
      <w:pPr>
        <w:autoSpaceDE w:val="0"/>
        <w:autoSpaceDN w:val="0"/>
        <w:adjustRightInd w:val="0"/>
        <w:spacing w:line="360" w:lineRule="auto"/>
        <w:ind w:left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33 630 - 29 414 = 4 216 тыс. руб.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При этом 3 016 тыс. руб. (6 000 х 0,3 + 6 080 х 0,2) подлежат погашению в 1-ый месяц следующего периода и 1 200 тыс. руб. (6 000 х 0,2) - во 2-ой месяц.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Представленные порядок и форму расчета планового поступления денежных средств применим к планированию поступлений от инвестиционной и финансовой деятельности, а также к планированию выплат денежных средств.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При планировании выплат денежных средств тщательной проработки требует порядок погашения кредиторской задолженности - определение долевого погашения по месяцам (аналогично инкассированию дебиторской задолженности). В таблице 3 представлен упрощенный пример плана расхода денежных средств при следующих условиях погашения кредиторской задолженности: 50% стоимости материалов и заработной платы выплачиваются в том же месяце, а остальные 50% - в следующем.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Рассмотренный нами пример демонстрирует бюджет денежных средств с положительным сальдо за каждый месяц и за полугодие в целом (10 901 &lt; 31 204 тыс. руб.).</w:t>
      </w:r>
    </w:p>
    <w:p w:rsidR="00C9733A" w:rsidRDefault="00C9733A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kern w:val="28"/>
          <w:sz w:val="28"/>
          <w:szCs w:val="28"/>
          <w:lang w:val="en-US"/>
        </w:rPr>
      </w:pP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kern w:val="28"/>
          <w:sz w:val="28"/>
          <w:szCs w:val="28"/>
        </w:rPr>
      </w:pPr>
      <w:r w:rsidRPr="00D42288">
        <w:rPr>
          <w:bCs/>
          <w:iCs/>
          <w:kern w:val="28"/>
          <w:sz w:val="28"/>
          <w:szCs w:val="28"/>
        </w:rPr>
        <w:t>ТАБЛИЦА 3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 w:rsidRPr="00D42288">
        <w:rPr>
          <w:bCs/>
          <w:kern w:val="28"/>
          <w:sz w:val="28"/>
          <w:szCs w:val="28"/>
        </w:rPr>
        <w:t>План выплат денежных средств, тыс. руб.</w:t>
      </w:r>
    </w:p>
    <w:p w:rsidR="00EA2A7C" w:rsidRPr="00D42288" w:rsidRDefault="00494FC9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pict>
          <v:shape id="_x0000_i1029" type="#_x0000_t75" style="width:417pt;height:435pt">
            <v:imagedata r:id="rId11" o:title=""/>
          </v:shape>
        </w:pict>
      </w:r>
    </w:p>
    <w:p w:rsidR="00D42288" w:rsidRDefault="00D42288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Таким образом, представленный подход к управлению денежными потоками предприятия позволяет увязать приток и отток денежных средств. Это дает возможность своевременно предупредить негативные явления, если в какой-либо момент текущей деятельности на предприятии возникают сбои в поступлении средств. Однако для этого необходимо соблюдать следующие условия: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left="-142" w:firstLine="851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- проанализировать каждую составляющую притока и оттока денежных средств;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left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- выработать механизм оптимизации их потока;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left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- регулярно составлять бюджет денежных средств;</w:t>
      </w:r>
    </w:p>
    <w:p w:rsidR="00EA2A7C" w:rsidRPr="00D42288" w:rsidRDefault="00EA2A7C" w:rsidP="00D42288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- контролировать и поддерживать оптимальное соотношение величин и временных интервалов поступлений и расхода.</w:t>
      </w:r>
    </w:p>
    <w:p w:rsidR="00EA2A7C" w:rsidRPr="00D42288" w:rsidRDefault="00EA2A7C" w:rsidP="00D42288">
      <w:pPr>
        <w:spacing w:line="360" w:lineRule="auto"/>
        <w:ind w:firstLine="1560"/>
        <w:jc w:val="both"/>
        <w:rPr>
          <w:b/>
          <w:kern w:val="28"/>
          <w:sz w:val="28"/>
          <w:szCs w:val="28"/>
        </w:rPr>
      </w:pPr>
      <w:r w:rsidRPr="00D42288">
        <w:rPr>
          <w:sz w:val="28"/>
          <w:szCs w:val="28"/>
        </w:rPr>
        <w:br w:type="page"/>
      </w:r>
      <w:r w:rsidRPr="00D42288">
        <w:rPr>
          <w:b/>
          <w:kern w:val="28"/>
          <w:sz w:val="28"/>
          <w:szCs w:val="28"/>
        </w:rPr>
        <w:t>Список использованных источников</w:t>
      </w:r>
    </w:p>
    <w:p w:rsidR="00EA2A7C" w:rsidRPr="00D42288" w:rsidRDefault="00EA2A7C" w:rsidP="00D42288">
      <w:pPr>
        <w:spacing w:line="360" w:lineRule="auto"/>
        <w:ind w:firstLine="709"/>
        <w:jc w:val="both"/>
        <w:rPr>
          <w:b/>
          <w:kern w:val="28"/>
          <w:sz w:val="28"/>
          <w:szCs w:val="28"/>
        </w:rPr>
      </w:pPr>
    </w:p>
    <w:p w:rsidR="00EA2A7C" w:rsidRPr="00D42288" w:rsidRDefault="00EA2A7C" w:rsidP="00D4228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 xml:space="preserve">Конституция Республики Беларусь 1994 года. Принята на республиканском референдуме 24 ноября 1996 года. Минск </w:t>
      </w:r>
      <w:r w:rsidRPr="00D42288">
        <w:rPr>
          <w:kern w:val="28"/>
          <w:sz w:val="28"/>
          <w:szCs w:val="28"/>
          <w:lang w:val="en-US"/>
        </w:rPr>
        <w:t>«</w:t>
      </w:r>
      <w:r w:rsidRPr="00D42288">
        <w:rPr>
          <w:kern w:val="28"/>
          <w:sz w:val="28"/>
          <w:szCs w:val="28"/>
        </w:rPr>
        <w:t>Беларусь</w:t>
      </w:r>
      <w:r w:rsidRPr="00D42288">
        <w:rPr>
          <w:kern w:val="28"/>
          <w:sz w:val="28"/>
          <w:szCs w:val="28"/>
          <w:lang w:val="en-US"/>
        </w:rPr>
        <w:t>»</w:t>
      </w:r>
      <w:r w:rsidRPr="00D42288">
        <w:rPr>
          <w:kern w:val="28"/>
          <w:sz w:val="28"/>
          <w:szCs w:val="28"/>
        </w:rPr>
        <w:t xml:space="preserve"> 1997г.</w:t>
      </w:r>
    </w:p>
    <w:p w:rsidR="00EA2A7C" w:rsidRPr="00D42288" w:rsidRDefault="00EA2A7C" w:rsidP="00D4228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Сорокина Т.В. Бюджет Беларуси: генезис и развитие. Минск, 2000.</w:t>
      </w:r>
    </w:p>
    <w:p w:rsidR="00EA2A7C" w:rsidRPr="00D42288" w:rsidRDefault="00EA2A7C" w:rsidP="00D4228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Л.А. Ханкевич</w:t>
      </w:r>
      <w:r w:rsidRPr="00D42288">
        <w:rPr>
          <w:bCs/>
          <w:kern w:val="28"/>
          <w:sz w:val="28"/>
          <w:szCs w:val="28"/>
        </w:rPr>
        <w:t xml:space="preserve"> </w:t>
      </w:r>
      <w:r w:rsidRPr="00D42288">
        <w:rPr>
          <w:kern w:val="28"/>
          <w:sz w:val="28"/>
          <w:szCs w:val="28"/>
        </w:rPr>
        <w:t>«Финансовое право Республики Беларусь». Учебное пособие / Мн. Издательство «Амалфея» 2002г.</w:t>
      </w:r>
    </w:p>
    <w:p w:rsidR="00EA2A7C" w:rsidRPr="00D42288" w:rsidRDefault="00EA2A7C" w:rsidP="00D4228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kern w:val="28"/>
          <w:sz w:val="28"/>
          <w:szCs w:val="28"/>
        </w:rPr>
      </w:pPr>
      <w:r w:rsidRPr="00D42288">
        <w:rPr>
          <w:kern w:val="28"/>
          <w:sz w:val="28"/>
          <w:szCs w:val="28"/>
        </w:rPr>
        <w:t>Финансовое право. Серия «Учебники, учебные пособия» / Под ред. проф. В.М. Мандрина Ростов-на-Дону Издательство «Феникс», 2002.</w:t>
      </w:r>
      <w:bookmarkStart w:id="0" w:name="_GoBack"/>
      <w:bookmarkEnd w:id="0"/>
    </w:p>
    <w:sectPr w:rsidR="00EA2A7C" w:rsidRPr="00D42288" w:rsidSect="00D42288">
      <w:headerReference w:type="even" r:id="rId12"/>
      <w:head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A4E" w:rsidRDefault="00406A4E">
      <w:r>
        <w:separator/>
      </w:r>
    </w:p>
  </w:endnote>
  <w:endnote w:type="continuationSeparator" w:id="0">
    <w:p w:rsidR="00406A4E" w:rsidRDefault="0040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A4E" w:rsidRDefault="00406A4E">
      <w:r>
        <w:separator/>
      </w:r>
    </w:p>
  </w:footnote>
  <w:footnote w:type="continuationSeparator" w:id="0">
    <w:p w:rsidR="00406A4E" w:rsidRDefault="00406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5E" w:rsidRDefault="0072715E" w:rsidP="00ED13F6">
    <w:pPr>
      <w:pStyle w:val="a3"/>
      <w:framePr w:wrap="around" w:vAnchor="text" w:hAnchor="margin" w:xAlign="right" w:y="1"/>
      <w:rPr>
        <w:rStyle w:val="a5"/>
      </w:rPr>
    </w:pPr>
  </w:p>
  <w:p w:rsidR="0072715E" w:rsidRDefault="0072715E" w:rsidP="0072715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5E" w:rsidRDefault="00A84BFB" w:rsidP="00ED13F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72715E" w:rsidRDefault="0072715E" w:rsidP="0072715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D22E7"/>
    <w:multiLevelType w:val="singleLevel"/>
    <w:tmpl w:val="89202D7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">
    <w:nsid w:val="4B0E0316"/>
    <w:multiLevelType w:val="multilevel"/>
    <w:tmpl w:val="52B0BD03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/>
        <w:b/>
        <w:color w:val="000080"/>
        <w:sz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</w:abstractNum>
  <w:abstractNum w:abstractNumId="2">
    <w:nsid w:val="768A5622"/>
    <w:multiLevelType w:val="hybridMultilevel"/>
    <w:tmpl w:val="34807B7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15E"/>
    <w:rsid w:val="001720FD"/>
    <w:rsid w:val="0039677D"/>
    <w:rsid w:val="00406A4E"/>
    <w:rsid w:val="00494FC9"/>
    <w:rsid w:val="006D0CBF"/>
    <w:rsid w:val="0072715E"/>
    <w:rsid w:val="009F3BD5"/>
    <w:rsid w:val="00A84BFB"/>
    <w:rsid w:val="00BC38AC"/>
    <w:rsid w:val="00C9733A"/>
    <w:rsid w:val="00D42288"/>
    <w:rsid w:val="00EA2A7C"/>
    <w:rsid w:val="00ED13F6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9C83A638-5229-42D8-9E16-9EF95FDF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15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271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ДЕНЕЖНЫЕ ПОТОКИ: ОПЫТ УПРАВЛЕНИЯ</vt:lpstr>
    </vt:vector>
  </TitlesOfParts>
  <Company>Microsoft</Company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ДЕНЕЖНЫЕ ПОТОКИ: ОПЫТ УПРАВЛЕНИЯ</dc:title>
  <dc:subject/>
  <dc:creator>Admin</dc:creator>
  <cp:keywords/>
  <dc:description/>
  <cp:lastModifiedBy>Irina</cp:lastModifiedBy>
  <cp:revision>2</cp:revision>
  <dcterms:created xsi:type="dcterms:W3CDTF">2014-08-10T08:40:00Z</dcterms:created>
  <dcterms:modified xsi:type="dcterms:W3CDTF">2014-08-10T08:40:00Z</dcterms:modified>
</cp:coreProperties>
</file>