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75" w:rsidRPr="0049780B" w:rsidRDefault="00410D75" w:rsidP="0049780B">
      <w:pPr>
        <w:widowControl w:val="0"/>
        <w:spacing w:line="360" w:lineRule="auto"/>
        <w:ind w:firstLine="709"/>
        <w:jc w:val="center"/>
        <w:rPr>
          <w:rFonts w:ascii="Times New Roman" w:hAnsi="Times New Roman"/>
          <w:b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>Відкрите</w:t>
      </w:r>
      <w:r w:rsid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>акціонерне</w:t>
      </w:r>
      <w:r w:rsid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>товариство</w:t>
      </w:r>
      <w:r w:rsid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>український</w:t>
      </w:r>
      <w:r w:rsid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>науково-дослідний</w:t>
      </w:r>
      <w:r w:rsidR="0049780B">
        <w:rPr>
          <w:rFonts w:ascii="Times New Roman" w:hAnsi="Times New Roman" w:cs="Times New Roman"/>
          <w:b w:val="0"/>
          <w:bCs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та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проектний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інститут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сталевих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конструкцій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імені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В.М.</w:t>
      </w:r>
      <w:r w:rsidR="0049780B">
        <w:rPr>
          <w:rFonts w:ascii="Times New Roman" w:hAnsi="Times New Roman"/>
          <w:b w:val="0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/>
          <w:b w:val="0"/>
          <w:caps/>
          <w:spacing w:val="0"/>
          <w:lang w:val="uk-UA"/>
        </w:rPr>
        <w:t>Шимановського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</w:rPr>
      </w:pPr>
    </w:p>
    <w:p w:rsidR="00410D75" w:rsidRPr="0049780B" w:rsidRDefault="00410D75" w:rsidP="0049780B">
      <w:pPr>
        <w:pStyle w:val="2"/>
        <w:ind w:firstLine="709"/>
        <w:jc w:val="right"/>
        <w:rPr>
          <w:bCs/>
          <w:sz w:val="28"/>
          <w:szCs w:val="28"/>
          <w:lang w:val="uk-UA"/>
        </w:rPr>
      </w:pPr>
      <w:r w:rsidRPr="0049780B">
        <w:rPr>
          <w:bCs/>
          <w:sz w:val="28"/>
          <w:szCs w:val="28"/>
          <w:lang w:val="uk-UA"/>
        </w:rPr>
        <w:t>Філатов</w:t>
      </w:r>
      <w:r w:rsidR="0049780B">
        <w:rPr>
          <w:bCs/>
          <w:sz w:val="28"/>
          <w:szCs w:val="28"/>
          <w:lang w:val="uk-UA"/>
        </w:rPr>
        <w:t xml:space="preserve"> </w:t>
      </w:r>
      <w:r w:rsidRPr="0049780B">
        <w:rPr>
          <w:bCs/>
          <w:sz w:val="28"/>
          <w:szCs w:val="28"/>
          <w:lang w:val="uk-UA"/>
        </w:rPr>
        <w:t>Юрій</w:t>
      </w:r>
      <w:r w:rsidR="0049780B">
        <w:rPr>
          <w:bCs/>
          <w:sz w:val="28"/>
          <w:szCs w:val="28"/>
          <w:lang w:val="uk-UA"/>
        </w:rPr>
        <w:t xml:space="preserve"> </w:t>
      </w:r>
      <w:r w:rsidRPr="0049780B">
        <w:rPr>
          <w:bCs/>
          <w:sz w:val="28"/>
          <w:szCs w:val="28"/>
          <w:lang w:val="uk-UA"/>
        </w:rPr>
        <w:t>Васильович</w:t>
      </w:r>
    </w:p>
    <w:p w:rsidR="00410D75" w:rsidRPr="0049780B" w:rsidRDefault="00410D75" w:rsidP="0049780B">
      <w:pPr>
        <w:spacing w:line="360" w:lineRule="auto"/>
        <w:ind w:firstLine="709"/>
        <w:jc w:val="right"/>
        <w:rPr>
          <w:rFonts w:ascii="Times New Roman" w:hAnsi="Times New Roman" w:cs="Times New Roman"/>
          <w:b w:val="0"/>
          <w:bCs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УДК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624.014:620.193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center"/>
        <w:rPr>
          <w:rFonts w:ascii="Times New Roman" w:hAnsi="Times New Roman" w:cs="Times New Roman"/>
          <w:caps/>
          <w:spacing w:val="0"/>
          <w:lang w:val="uk-UA"/>
        </w:rPr>
      </w:pPr>
      <w:r w:rsidRPr="0049780B">
        <w:rPr>
          <w:rFonts w:ascii="Times New Roman" w:hAnsi="Times New Roman" w:cs="Times New Roman"/>
          <w:caps/>
          <w:spacing w:val="0"/>
          <w:lang w:val="uk-UA"/>
        </w:rPr>
        <w:t>технологІчНА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безПЕКА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ТА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пРодОВЖЕННЯ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ресурсУ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сталЕВИХ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конструкцІй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в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корозІЙНИХ</w:t>
      </w:r>
      <w:r w:rsidR="0049780B">
        <w:rPr>
          <w:rFonts w:ascii="Times New Roman" w:hAnsi="Times New Roman" w:cs="Times New Roman"/>
          <w:caps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caps/>
          <w:spacing w:val="0"/>
          <w:lang w:val="uk-UA"/>
        </w:rPr>
        <w:t>сЕРЕДОВИЩАХ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caps/>
          <w:spacing w:val="0"/>
        </w:rPr>
      </w:pPr>
    </w:p>
    <w:p w:rsidR="00410D75" w:rsidRPr="0049780B" w:rsidRDefault="00410D75" w:rsidP="0049780B">
      <w:pPr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05.23.01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Будівельні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конструкції,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будівлі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споруди</w:t>
      </w:r>
    </w:p>
    <w:p w:rsidR="00410D75" w:rsidRPr="0049780B" w:rsidRDefault="00410D75" w:rsidP="0049780B">
      <w:pPr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10D75" w:rsidRPr="0049780B" w:rsidRDefault="00410D75" w:rsidP="0049780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Автореферат</w:t>
      </w:r>
    </w:p>
    <w:p w:rsidR="00410D75" w:rsidRPr="0049780B" w:rsidRDefault="00410D75" w:rsidP="0049780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дисертації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здобуття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наукового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ступеня</w:t>
      </w:r>
    </w:p>
    <w:p w:rsidR="00410D75" w:rsidRPr="0049780B" w:rsidRDefault="00410D75" w:rsidP="0049780B">
      <w:pPr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кандидата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технічних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наук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lang w:val="uk-UA"/>
        </w:rPr>
      </w:pP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Київ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t>2008</w:t>
      </w:r>
    </w:p>
    <w:p w:rsidR="00410D75" w:rsidRPr="0049780B" w:rsidRDefault="0049780B" w:rsidP="0049780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br w:type="page"/>
      </w:r>
      <w:r w:rsidR="00410D75"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Дисертацією</w:t>
      </w: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="00410D75"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є</w:t>
      </w: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="00410D75"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рукопис.</w:t>
      </w:r>
    </w:p>
    <w:p w:rsidR="00410D75" w:rsidRPr="0049780B" w:rsidRDefault="00410D75" w:rsidP="0049780B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Робота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виконана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Донбаському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центрі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Відкритого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акціонерного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товариства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Український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науково-дослідний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проектний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інститут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імені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Шимановського.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Науковий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керівник</w:t>
      </w:r>
      <w:r w:rsidRPr="0049780B">
        <w:rPr>
          <w:szCs w:val="24"/>
          <w:lang w:val="uk-UA"/>
        </w:rPr>
        <w:t>: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доктор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наук,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професор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  <w:r w:rsidRPr="0049780B">
        <w:rPr>
          <w:bCs/>
          <w:szCs w:val="24"/>
          <w:lang w:val="uk-UA"/>
        </w:rPr>
        <w:t>Корольов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Володимир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Петрович,</w:t>
      </w: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Відкрите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акціонерне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товариство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Український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науково-дослідний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проектний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інститут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імені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Шимановського,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9780B" w:rsidRPr="0049780B" w:rsidRDefault="0049780B" w:rsidP="0049780B">
      <w:pPr>
        <w:tabs>
          <w:tab w:val="left" w:pos="2808"/>
        </w:tabs>
        <w:spacing w:line="360" w:lineRule="auto"/>
        <w:ind w:firstLine="709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директор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Донбаського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центру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Офіційні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опоненти:</w:t>
      </w:r>
      <w:r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ab/>
        <w:t>доктор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наук,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професор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  <w:r w:rsidRPr="0049780B">
        <w:rPr>
          <w:bCs/>
          <w:szCs w:val="24"/>
          <w:lang w:val="uk-UA"/>
        </w:rPr>
        <w:t>Єгоров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Євгеній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Аркадійович,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Придніпровська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державна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академія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будівництва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архітектури,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завідувач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кафедри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металевих,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дерев’яних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пластмасових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кандидат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наук,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доцент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  <w:r w:rsidRPr="0049780B">
        <w:rPr>
          <w:bCs/>
          <w:szCs w:val="24"/>
          <w:lang w:val="uk-UA"/>
        </w:rPr>
        <w:t>Іванов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Анатолій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Порфірійович,</w:t>
      </w:r>
    </w:p>
    <w:p w:rsidR="0049780B" w:rsidRPr="0049780B" w:rsidRDefault="0049780B" w:rsidP="0049780B">
      <w:pPr>
        <w:pStyle w:val="a3"/>
        <w:tabs>
          <w:tab w:val="left" w:pos="2808"/>
        </w:tabs>
        <w:spacing w:line="360" w:lineRule="auto"/>
        <w:ind w:firstLine="709"/>
        <w:jc w:val="left"/>
        <w:rPr>
          <w:szCs w:val="24"/>
          <w:lang w:val="uk-UA"/>
        </w:rPr>
      </w:pPr>
      <w:r w:rsidRPr="0049780B">
        <w:rPr>
          <w:szCs w:val="24"/>
          <w:lang w:val="uk-UA"/>
        </w:rPr>
        <w:t>Донбаський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державний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університет,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доцент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кафедри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будівельних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відбудеться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«26»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червня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2008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14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годині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засіданні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спеціалізованої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вченої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ради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26.857.01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Відкритому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акціонерному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товаристві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Український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науково-дослідний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проектний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інститут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імені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Шимановського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адресою: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02660,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Київ,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проспект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Визволителів,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1.</w:t>
      </w:r>
    </w:p>
    <w:p w:rsidR="00410D75" w:rsidRPr="0049780B" w:rsidRDefault="00410D75" w:rsidP="0049780B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дисертацією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можна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ознайомитись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бібліотеці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Відкритого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акціонерного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товариства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Український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науково-дослідний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проектний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інститут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імені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Шимановського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адресою: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02660,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Київ,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проспект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Визволителів,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1.</w:t>
      </w:r>
    </w:p>
    <w:p w:rsidR="00410D75" w:rsidRPr="0049780B" w:rsidRDefault="00410D75" w:rsidP="0049780B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Автореферат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розісланий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«___»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травня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2008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р.</w:t>
      </w:r>
    </w:p>
    <w:p w:rsidR="0049780B" w:rsidRPr="0049780B" w:rsidRDefault="0049780B" w:rsidP="0049780B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Вчений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секретар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спеціалізованої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вченої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ради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9780B" w:rsidRDefault="0049780B" w:rsidP="0049780B">
      <w:pPr>
        <w:suppressAutoHyphens/>
        <w:spacing w:line="360" w:lineRule="auto"/>
        <w:ind w:firstLine="709"/>
        <w:jc w:val="both"/>
        <w:rPr>
          <w:rFonts w:ascii="Times New Roman" w:hAnsi="Times New Roman"/>
          <w:b w:val="0"/>
          <w:bCs w:val="0"/>
          <w:caps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26.857.01,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д.т.н.,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с.н.с.</w:t>
      </w:r>
      <w:r>
        <w:rPr>
          <w:rFonts w:ascii="Times New Roman" w:hAnsi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О.І.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Голоднов</w:t>
      </w:r>
    </w:p>
    <w:p w:rsidR="00410D75" w:rsidRPr="0049780B" w:rsidRDefault="0049780B" w:rsidP="0049780B">
      <w:pPr>
        <w:suppressAutoHyphens/>
        <w:spacing w:line="360" w:lineRule="auto"/>
        <w:ind w:firstLine="709"/>
        <w:jc w:val="center"/>
        <w:rPr>
          <w:rFonts w:ascii="Times New Roman" w:hAnsi="Times New Roman"/>
          <w:spacing w:val="0"/>
          <w:szCs w:val="24"/>
          <w:lang w:val="uk-UA"/>
        </w:rPr>
      </w:pPr>
      <w:r>
        <w:rPr>
          <w:rFonts w:ascii="Times New Roman" w:hAnsi="Times New Roman"/>
          <w:b w:val="0"/>
          <w:bCs w:val="0"/>
          <w:caps/>
          <w:spacing w:val="0"/>
          <w:szCs w:val="24"/>
          <w:lang w:val="uk-UA"/>
        </w:rPr>
        <w:br w:type="page"/>
      </w:r>
      <w:r w:rsidR="00410D75" w:rsidRPr="0049780B">
        <w:rPr>
          <w:rFonts w:ascii="Times New Roman" w:hAnsi="Times New Roman"/>
          <w:bCs w:val="0"/>
          <w:caps/>
          <w:spacing w:val="0"/>
          <w:szCs w:val="24"/>
          <w:lang w:val="uk-UA"/>
        </w:rPr>
        <w:t>загальна</w:t>
      </w:r>
      <w:r>
        <w:rPr>
          <w:rFonts w:ascii="Times New Roman" w:hAnsi="Times New Roman"/>
          <w:bCs w:val="0"/>
          <w:caps/>
          <w:spacing w:val="0"/>
          <w:szCs w:val="24"/>
          <w:lang w:val="uk-UA"/>
        </w:rPr>
        <w:t xml:space="preserve"> </w:t>
      </w:r>
      <w:r w:rsidR="00410D75" w:rsidRPr="0049780B">
        <w:rPr>
          <w:rFonts w:ascii="Times New Roman" w:hAnsi="Times New Roman"/>
          <w:bCs w:val="0"/>
          <w:caps/>
          <w:spacing w:val="0"/>
          <w:szCs w:val="24"/>
          <w:lang w:val="uk-UA"/>
        </w:rPr>
        <w:t>характеристика</w:t>
      </w:r>
      <w:r>
        <w:rPr>
          <w:rFonts w:ascii="Times New Roman" w:hAnsi="Times New Roman"/>
          <w:bCs w:val="0"/>
          <w:caps/>
          <w:spacing w:val="0"/>
          <w:szCs w:val="24"/>
          <w:lang w:val="uk-UA"/>
        </w:rPr>
        <w:t xml:space="preserve"> </w:t>
      </w:r>
      <w:r w:rsidR="00410D75" w:rsidRPr="0049780B">
        <w:rPr>
          <w:rFonts w:ascii="Times New Roman" w:hAnsi="Times New Roman"/>
          <w:bCs w:val="0"/>
          <w:caps/>
          <w:spacing w:val="0"/>
          <w:szCs w:val="24"/>
          <w:lang w:val="uk-UA"/>
        </w:rPr>
        <w:t>роботи</w:t>
      </w:r>
    </w:p>
    <w:p w:rsidR="0049780B" w:rsidRDefault="0049780B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Актуальність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теми.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Проблема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пов'язана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регламентацією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попередження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аварійних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ситуацій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програмно-цільового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керування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надійністю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являє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важливу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структурну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складову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підприємства,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характеризує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підтримки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працездатності,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підвищення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властивостей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інженерних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мереж,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повністю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або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суттєво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вичерпали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свій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нормативний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Такі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розглядаються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джерела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потенційної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модернізації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(технічному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переоснащенні),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реконструкції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їхньої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вітчизняних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нормативних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документів,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європейських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міжнародних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стандартів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підтверджує,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пов'язане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розвитком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керування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надійністю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якістю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ISO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9001:2000.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Необхідність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удосконалення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нормативно-правових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методичних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документів,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визначають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порядок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робіт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підвищення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надійності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інженерних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мереж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національному,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галузевому,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регіональному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об'єктному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рівнях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розпорядженням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100-р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березня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2004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“Про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заходи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щодо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посилення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проектуванням,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новим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будівництвом,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реконструкцією,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капітальним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експлуатацією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споруд”,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Постановою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8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жовтня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2004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1331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”Про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затвердження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Державної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науково-технічної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програми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"Ресурс".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Найнесприятливіші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умови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мають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місце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підприємствах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металургійного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комплексу,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експлуатуються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приблизно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45%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межами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встановлених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термінів,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багатьох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відповідає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будівельним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нормам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правилам.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Розвиток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керування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безпекою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пов'язаний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реалізацією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програм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переоснащення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стратегічного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розвитку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підприємств.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Аналіз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функціональних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вимог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характеристик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експертного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діагностування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сприяють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формуванню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програм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забезпечення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надійності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(ПЗН)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дозволяють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визначити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ремонтно-відновлюваних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робіт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підтримки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експлуатаційних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параметрів.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Зв’язок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роботи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з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науковими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програмами,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планами,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темами.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Дисертація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завдань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п.п.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6.4,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6.5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напрямків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вдосконалювання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устаткування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інженерних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мереж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Державної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науково-технічної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програми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«Ресурс»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(держ.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регістр.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0107</w:t>
      </w:r>
      <w:r w:rsidRPr="0049780B">
        <w:rPr>
          <w:szCs w:val="24"/>
          <w:lang w:val="en-US"/>
        </w:rPr>
        <w:t>U</w:t>
      </w:r>
      <w:r w:rsidRPr="0049780B">
        <w:rPr>
          <w:szCs w:val="24"/>
          <w:lang w:val="uk-UA"/>
        </w:rPr>
        <w:t>005865).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Метою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роботи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теоретичне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узагальнення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експериментальне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довговічності,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середовищах.</w:t>
      </w:r>
    </w:p>
    <w:p w:rsidR="00410D75" w:rsidRPr="0049780B" w:rsidRDefault="00410D75" w:rsidP="0049780B">
      <w:pPr>
        <w:tabs>
          <w:tab w:val="left" w:pos="9632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noProof/>
          <w:spacing w:val="0"/>
          <w:szCs w:val="24"/>
        </w:rPr>
        <w:t>Задачі</w:t>
      </w:r>
      <w:r w:rsidR="0049780B">
        <w:rPr>
          <w:rFonts w:ascii="Times New Roman" w:hAnsi="Times New Roman" w:cs="Times New Roman"/>
          <w:b w:val="0"/>
          <w:noProof/>
          <w:spacing w:val="0"/>
          <w:szCs w:val="24"/>
        </w:rPr>
        <w:t xml:space="preserve"> </w:t>
      </w:r>
      <w:r w:rsidRPr="0049780B">
        <w:rPr>
          <w:rFonts w:ascii="Times New Roman" w:hAnsi="Times New Roman" w:cs="Times New Roman"/>
          <w:b w:val="0"/>
          <w:noProof/>
          <w:spacing w:val="0"/>
          <w:szCs w:val="24"/>
        </w:rPr>
        <w:t>досліджень:</w:t>
      </w:r>
    </w:p>
    <w:p w:rsidR="00410D75" w:rsidRPr="0049780B" w:rsidRDefault="00410D75" w:rsidP="0049780B">
      <w:pPr>
        <w:pStyle w:val="a3"/>
        <w:numPr>
          <w:ilvl w:val="0"/>
          <w:numId w:val="1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визначити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якісні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кількісні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критерії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конструкцій;</w:t>
      </w:r>
    </w:p>
    <w:p w:rsidR="00410D75" w:rsidRPr="0049780B" w:rsidRDefault="00410D75" w:rsidP="0049780B">
      <w:pPr>
        <w:pStyle w:val="a3"/>
        <w:numPr>
          <w:ilvl w:val="0"/>
          <w:numId w:val="1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обґрунтувати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діагностики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ознаками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станів;</w:t>
      </w:r>
    </w:p>
    <w:p w:rsidR="00410D75" w:rsidRPr="0049780B" w:rsidRDefault="00410D75" w:rsidP="0049780B">
      <w:pPr>
        <w:pStyle w:val="a3"/>
        <w:numPr>
          <w:ilvl w:val="0"/>
          <w:numId w:val="1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розробити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реєстраційної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функціонально-вартісного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здатності;</w:t>
      </w:r>
    </w:p>
    <w:p w:rsidR="00410D75" w:rsidRPr="0049780B" w:rsidRDefault="00410D75" w:rsidP="0049780B">
      <w:pPr>
        <w:pStyle w:val="a3"/>
        <w:numPr>
          <w:ilvl w:val="0"/>
          <w:numId w:val="1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сформувати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специфікації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керування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параметрами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визначенням,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моніторингу,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ступеня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пошкоджень;</w:t>
      </w:r>
    </w:p>
    <w:p w:rsidR="00410D75" w:rsidRPr="0049780B" w:rsidRDefault="00410D75" w:rsidP="0049780B">
      <w:pPr>
        <w:pStyle w:val="a3"/>
        <w:numPr>
          <w:ilvl w:val="0"/>
          <w:numId w:val="1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впровадити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розробок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стандарти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підприємств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базу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«Ресурс»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безаварійної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Об’єкт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дослідження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металургійного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виробництва,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вичерпали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Предмет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дослідження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залишкового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умовах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руйнування.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Методи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засновані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підході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керування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якістю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будівництві,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теорії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діагностуванні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моделюванні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напружено-деформованого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наслідків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</w:p>
    <w:p w:rsidR="00410D75" w:rsidRPr="0049780B" w:rsidRDefault="00410D75" w:rsidP="0049780B">
      <w:pPr>
        <w:pStyle w:val="23"/>
        <w:widowControl w:val="0"/>
        <w:suppressAutoHyphens/>
        <w:spacing w:after="0" w:line="360" w:lineRule="auto"/>
        <w:ind w:left="0" w:firstLine="709"/>
        <w:jc w:val="both"/>
        <w:rPr>
          <w:sz w:val="28"/>
          <w:lang w:val="uk-UA"/>
        </w:rPr>
      </w:pPr>
      <w:r w:rsidRPr="0049780B">
        <w:rPr>
          <w:bCs/>
          <w:sz w:val="28"/>
          <w:lang w:val="uk-UA"/>
        </w:rPr>
        <w:t>Наукову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новизну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отриманих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результатів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становлять:</w:t>
      </w:r>
    </w:p>
    <w:p w:rsidR="00410D75" w:rsidRPr="0049780B" w:rsidRDefault="00410D75" w:rsidP="0049780B">
      <w:pPr>
        <w:pStyle w:val="a3"/>
        <w:numPr>
          <w:ilvl w:val="0"/>
          <w:numId w:val="2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методика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реєстраційної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розрахунково-експериментального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станом;</w:t>
      </w:r>
    </w:p>
    <w:p w:rsidR="00410D75" w:rsidRPr="0049780B" w:rsidRDefault="00410D75" w:rsidP="0049780B">
      <w:pPr>
        <w:pStyle w:val="a3"/>
        <w:numPr>
          <w:ilvl w:val="0"/>
          <w:numId w:val="2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математична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параметри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готовності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здатності;</w:t>
      </w:r>
    </w:p>
    <w:p w:rsidR="00410D75" w:rsidRPr="0049780B" w:rsidRDefault="00410D75" w:rsidP="0049780B">
      <w:pPr>
        <w:pStyle w:val="a3"/>
        <w:numPr>
          <w:ilvl w:val="0"/>
          <w:numId w:val="2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bCs/>
          <w:szCs w:val="24"/>
          <w:lang w:val="uk-UA"/>
        </w:rPr>
      </w:pP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чисельного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пропускної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регулювання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первинного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вторинного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специфікації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ПЗН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ступеня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агресивності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впливів;</w:t>
      </w:r>
    </w:p>
    <w:p w:rsidR="00410D75" w:rsidRPr="0049780B" w:rsidRDefault="00410D75" w:rsidP="0049780B">
      <w:pPr>
        <w:pStyle w:val="a3"/>
        <w:numPr>
          <w:ilvl w:val="0"/>
          <w:numId w:val="2"/>
        </w:numPr>
        <w:tabs>
          <w:tab w:val="clear" w:pos="360"/>
          <w:tab w:val="num" w:pos="180"/>
          <w:tab w:val="left" w:pos="900"/>
        </w:tabs>
        <w:spacing w:line="360" w:lineRule="auto"/>
        <w:ind w:left="0" w:firstLine="709"/>
        <w:rPr>
          <w:bCs/>
          <w:szCs w:val="24"/>
          <w:lang w:val="uk-UA"/>
        </w:rPr>
      </w:pPr>
      <w:r w:rsidRPr="0049780B">
        <w:rPr>
          <w:szCs w:val="24"/>
          <w:lang w:val="uk-UA"/>
        </w:rPr>
        <w:t>алгоритм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попередження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аварійних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ситуацій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промислових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включає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груп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відповідальності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загрози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середовищах.</w:t>
      </w:r>
    </w:p>
    <w:p w:rsidR="00410D75" w:rsidRPr="0049780B" w:rsidRDefault="00410D75" w:rsidP="0049780B">
      <w:pPr>
        <w:pStyle w:val="a3"/>
        <w:tabs>
          <w:tab w:val="num" w:pos="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Практичне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значення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результатів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роботи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полягає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тому,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що:</w:t>
      </w:r>
    </w:p>
    <w:p w:rsidR="00410D75" w:rsidRPr="0049780B" w:rsidRDefault="00410D75" w:rsidP="0049780B">
      <w:pPr>
        <w:pStyle w:val="a3"/>
        <w:numPr>
          <w:ilvl w:val="0"/>
          <w:numId w:val="3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розроблений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методичний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дозволяє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виконувати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залишкового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діагностики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протикорозійного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вимог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міжнародних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стандартів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ISO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9001:2000,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ISO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14001:2004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OHSAS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18001:1999;</w:t>
      </w:r>
    </w:p>
    <w:p w:rsidR="00410D75" w:rsidRPr="0049780B" w:rsidRDefault="00410D75" w:rsidP="0049780B">
      <w:pPr>
        <w:pStyle w:val="a3"/>
        <w:numPr>
          <w:ilvl w:val="0"/>
          <w:numId w:val="3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виконані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прискорені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випробування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(СЗП)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встановлені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нормативу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класифікаційних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ознак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їхніх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покриттів;</w:t>
      </w:r>
    </w:p>
    <w:p w:rsidR="00410D75" w:rsidRPr="0049780B" w:rsidRDefault="00410D75" w:rsidP="0049780B">
      <w:pPr>
        <w:pStyle w:val="a3"/>
        <w:numPr>
          <w:ilvl w:val="0"/>
          <w:numId w:val="3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визначена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послідовність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аварійних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ситуацій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експлуатуються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агресивних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середовищах;</w:t>
      </w:r>
    </w:p>
    <w:p w:rsidR="00410D75" w:rsidRPr="0049780B" w:rsidRDefault="00410D75" w:rsidP="0049780B">
      <w:pPr>
        <w:pStyle w:val="a3"/>
        <w:numPr>
          <w:ilvl w:val="0"/>
          <w:numId w:val="3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сформована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структура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бази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«Ресурс»,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дозволяє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розробляти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ПЗН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обслуговуванні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станом.</w:t>
      </w:r>
    </w:p>
    <w:p w:rsidR="00410D75" w:rsidRPr="0049780B" w:rsidRDefault="00410D75" w:rsidP="0049780B">
      <w:pPr>
        <w:pStyle w:val="a3"/>
        <w:tabs>
          <w:tab w:val="num" w:pos="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Впровадження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результатів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роботи.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використано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розробці:</w:t>
      </w:r>
    </w:p>
    <w:p w:rsidR="00410D75" w:rsidRPr="0049780B" w:rsidRDefault="00410D75" w:rsidP="0049780B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стандарту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підприємства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101С-6.3-05-2007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металургійного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комплексу;</w:t>
      </w:r>
    </w:p>
    <w:p w:rsidR="00410D75" w:rsidRPr="0049780B" w:rsidRDefault="00410D75" w:rsidP="0049780B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положення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порядок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виробництва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протикорозійних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робіт;</w:t>
      </w:r>
    </w:p>
    <w:p w:rsidR="00410D75" w:rsidRPr="0049780B" w:rsidRDefault="00410D75" w:rsidP="0049780B">
      <w:pPr>
        <w:pStyle w:val="a3"/>
        <w:numPr>
          <w:ilvl w:val="0"/>
          <w:numId w:val="4"/>
        </w:numPr>
        <w:tabs>
          <w:tab w:val="clear" w:pos="360"/>
          <w:tab w:val="num" w:pos="0"/>
          <w:tab w:val="left" w:pos="900"/>
        </w:tabs>
        <w:spacing w:line="360" w:lineRule="auto"/>
        <w:ind w:left="0" w:firstLine="709"/>
        <w:rPr>
          <w:bCs/>
          <w:szCs w:val="24"/>
          <w:lang w:val="uk-UA"/>
        </w:rPr>
      </w:pPr>
      <w:r w:rsidRPr="0049780B">
        <w:rPr>
          <w:szCs w:val="24"/>
          <w:lang w:val="uk-UA"/>
        </w:rPr>
        <w:t>інформаційної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автоматизованої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бази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«Ресурс».</w:t>
      </w:r>
    </w:p>
    <w:p w:rsidR="00410D75" w:rsidRPr="0049780B" w:rsidRDefault="00410D75" w:rsidP="0049780B">
      <w:pPr>
        <w:pStyle w:val="a3"/>
        <w:tabs>
          <w:tab w:val="num" w:pos="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Матеріали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оцінці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розробці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рекомендацій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служби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«Донецьквугілля»,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ВАТ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«Ясинівський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КХЗ»,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«Донецьксталь»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металургійний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завод»,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«Макіївкокс»,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«Мініметалургійний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завод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«Істіл»,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також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вибору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засобів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протикорозійного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металоконструкцій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ВАТ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«Алчевський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металургійний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комбінат»,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Макіївського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заводу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тощо.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Особистий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внесок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здобувача.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Наведені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дисертаційній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отримані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здобувачем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самостійно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або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співавторстві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публікацій,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особисто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авторові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належать:</w:t>
      </w:r>
    </w:p>
    <w:p w:rsidR="00410D75" w:rsidRPr="0049780B" w:rsidRDefault="00410D75" w:rsidP="0049780B">
      <w:pPr>
        <w:pStyle w:val="a3"/>
        <w:numPr>
          <w:ilvl w:val="0"/>
          <w:numId w:val="5"/>
        </w:numPr>
        <w:tabs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сформульований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реєстраційному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конструкцій;</w:t>
      </w:r>
    </w:p>
    <w:p w:rsidR="00410D75" w:rsidRPr="0049780B" w:rsidRDefault="00410D75" w:rsidP="0049780B">
      <w:pPr>
        <w:pStyle w:val="a3"/>
        <w:numPr>
          <w:ilvl w:val="0"/>
          <w:numId w:val="5"/>
        </w:numPr>
        <w:tabs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установлені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область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припустимих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конструкцій;</w:t>
      </w:r>
    </w:p>
    <w:p w:rsidR="00410D75" w:rsidRPr="0049780B" w:rsidRDefault="00410D75" w:rsidP="0049780B">
      <w:pPr>
        <w:pStyle w:val="a3"/>
        <w:numPr>
          <w:ilvl w:val="0"/>
          <w:numId w:val="5"/>
        </w:numPr>
        <w:tabs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вирішена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задача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пропускної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регулювання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середовищах;</w:t>
      </w:r>
    </w:p>
    <w:p w:rsidR="00410D75" w:rsidRPr="0049780B" w:rsidRDefault="00410D75" w:rsidP="0049780B">
      <w:pPr>
        <w:pStyle w:val="a3"/>
        <w:numPr>
          <w:ilvl w:val="0"/>
          <w:numId w:val="5"/>
        </w:numPr>
        <w:tabs>
          <w:tab w:val="left" w:pos="900"/>
        </w:tabs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виконані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готовності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K</w:t>
      </w:r>
      <w:r w:rsidRPr="0049780B">
        <w:rPr>
          <w:iCs/>
          <w:szCs w:val="24"/>
          <w:vertAlign w:val="subscript"/>
          <w:lang w:val="uk-UA"/>
        </w:rPr>
        <w:t>g</w:t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їхніх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c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lang w:val="uk-UA"/>
        </w:rPr>
      </w:pPr>
      <w:r w:rsidRPr="0049780B">
        <w:rPr>
          <w:rFonts w:ascii="Times New Roman" w:hAnsi="Times New Roman" w:cs="Times New Roman"/>
          <w:bCs/>
          <w:color w:val="auto"/>
          <w:sz w:val="28"/>
          <w:lang w:val="uk-UA"/>
        </w:rPr>
        <w:t>Апробація</w:t>
      </w:r>
      <w:r w:rsidR="0049780B">
        <w:rPr>
          <w:rFonts w:ascii="Times New Roman" w:hAnsi="Times New Roman" w:cs="Times New Roman"/>
          <w:bCs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bCs/>
          <w:color w:val="auto"/>
          <w:sz w:val="28"/>
          <w:lang w:val="uk-UA"/>
        </w:rPr>
        <w:t>результатів</w:t>
      </w:r>
      <w:r w:rsidR="0049780B">
        <w:rPr>
          <w:rFonts w:ascii="Times New Roman" w:hAnsi="Times New Roman" w:cs="Times New Roman"/>
          <w:bCs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bCs/>
          <w:color w:val="auto"/>
          <w:sz w:val="28"/>
          <w:lang w:val="uk-UA"/>
        </w:rPr>
        <w:t>дисертації.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Основні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положення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дисертаційної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роботи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доповідались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обговорювались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на: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Європейському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конгресі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EUROCORR-2003,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Будапешт;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Міжнародній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науково-практичній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конференції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«ДОНБАС–РЕСУРС-2003.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Захист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від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корозії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моніторинг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залишкового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ресурсу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промислових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будівель,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споруд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та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інженерних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мереж»,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Донецьк-Макіївка;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Українській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науково-технічній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конференції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«Металлические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конструкции: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взгляд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в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прошлое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будущее»,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Київ;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Міжнародних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конференціях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Корозія-2004,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Корозія-2006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“Проблеми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корозіі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та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протикорозійного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захисту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матеріалів”,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Львів;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школі-семінарі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«Инновационные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технологии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для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оценки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состояния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конструкций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сооружений.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Обеспечение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безопасной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эксплуатации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по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фактическому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состоянию»,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Лейпциг,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2005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р.;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V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міжнародній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науково-практичній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конференції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“Будівельні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металеві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конструкції: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сьогоднення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та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перспективи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розвитку”,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Київ,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2006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р.;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міжнародній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конференції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«Экологические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проблемы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индустриальных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мегаполисов»,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Донецьк-Авдіївка,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2006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р.;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міжнародному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симпозиумі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«Современные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строительные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конструкции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из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металла,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дерева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пластмасс»,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Одеса,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2007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р.;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на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засіданні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Вченої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ради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ВАТ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Укрндіпроектстальконструкція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ім.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В.М.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Шимановського,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м.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Київ,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2008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>р.</w:t>
      </w:r>
      <w:r w:rsidR="0049780B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  <w:r w:rsidRPr="0049780B">
        <w:rPr>
          <w:bCs/>
          <w:szCs w:val="24"/>
          <w:lang w:val="uk-UA"/>
        </w:rPr>
        <w:t>Публікації.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положення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дисертації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знайшли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своє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відображення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13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друкованих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роботах,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6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статей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фахових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наукових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журналах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збірках,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5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матеріалах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тезах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конференцій;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опубліковані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співавторів.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Структура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та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обсяг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роботи.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Дисертаційна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складається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вступу,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чотирьох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розділів,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висновків,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переліку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джерел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200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найменувань,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двох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додатків.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викладена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187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сторінках,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числі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127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сторінках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тексту,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22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сторінках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переліку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джерел,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20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сторінок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рисунками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таблицями,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18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сторінок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додатків.</w:t>
      </w:r>
    </w:p>
    <w:p w:rsidR="00410D75" w:rsidRPr="005F15DF" w:rsidRDefault="005F15DF" w:rsidP="005F15DF">
      <w:pPr>
        <w:pStyle w:val="1"/>
        <w:spacing w:line="360" w:lineRule="auto"/>
        <w:ind w:firstLine="709"/>
        <w:jc w:val="center"/>
        <w:rPr>
          <w:b/>
          <w:szCs w:val="24"/>
          <w:lang w:val="uk-UA"/>
        </w:rPr>
      </w:pPr>
      <w:r>
        <w:rPr>
          <w:bCs/>
          <w:szCs w:val="24"/>
          <w:lang w:val="uk-UA"/>
        </w:rPr>
        <w:br w:type="page"/>
      </w:r>
      <w:r w:rsidR="00410D75" w:rsidRPr="005F15DF">
        <w:rPr>
          <w:b/>
          <w:bCs/>
          <w:szCs w:val="24"/>
          <w:lang w:val="uk-UA"/>
        </w:rPr>
        <w:t>ОСНОВНИЙ</w:t>
      </w:r>
      <w:r w:rsidR="0049780B" w:rsidRPr="005F15DF">
        <w:rPr>
          <w:b/>
          <w:bCs/>
          <w:szCs w:val="24"/>
          <w:lang w:val="uk-UA"/>
        </w:rPr>
        <w:t xml:space="preserve"> </w:t>
      </w:r>
      <w:r w:rsidR="00410D75" w:rsidRPr="005F15DF">
        <w:rPr>
          <w:b/>
          <w:bCs/>
          <w:szCs w:val="24"/>
          <w:lang w:val="uk-UA"/>
        </w:rPr>
        <w:t>ЗМІСТ</w:t>
      </w:r>
      <w:r w:rsidR="0049780B" w:rsidRPr="005F15DF">
        <w:rPr>
          <w:b/>
          <w:bCs/>
          <w:szCs w:val="24"/>
          <w:lang w:val="uk-UA"/>
        </w:rPr>
        <w:t xml:space="preserve"> </w:t>
      </w:r>
      <w:r w:rsidR="00410D75" w:rsidRPr="005F15DF">
        <w:rPr>
          <w:b/>
          <w:bCs/>
          <w:szCs w:val="24"/>
          <w:lang w:val="uk-UA"/>
        </w:rPr>
        <w:t>РОБОТИ</w:t>
      </w:r>
    </w:p>
    <w:p w:rsidR="005F15DF" w:rsidRDefault="005F15DF" w:rsidP="0049780B">
      <w:pPr>
        <w:pStyle w:val="23"/>
        <w:widowControl w:val="0"/>
        <w:suppressAutoHyphens/>
        <w:spacing w:after="0" w:line="360" w:lineRule="auto"/>
        <w:ind w:left="0" w:firstLine="709"/>
        <w:jc w:val="both"/>
        <w:rPr>
          <w:bCs/>
          <w:sz w:val="28"/>
          <w:lang w:val="uk-UA"/>
        </w:rPr>
      </w:pPr>
    </w:p>
    <w:p w:rsidR="00410D75" w:rsidRPr="0049780B" w:rsidRDefault="00410D75" w:rsidP="0049780B">
      <w:pPr>
        <w:pStyle w:val="23"/>
        <w:widowControl w:val="0"/>
        <w:suppressAutoHyphens/>
        <w:spacing w:after="0" w:line="360" w:lineRule="auto"/>
        <w:ind w:left="0" w:firstLine="709"/>
        <w:jc w:val="both"/>
        <w:rPr>
          <w:sz w:val="28"/>
          <w:lang w:val="uk-UA"/>
        </w:rPr>
      </w:pPr>
      <w:r w:rsidRPr="0049780B">
        <w:rPr>
          <w:bCs/>
          <w:sz w:val="28"/>
          <w:lang w:val="uk-UA"/>
        </w:rPr>
        <w:t>У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вступі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викладена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загальна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характеристика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роботи,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обґрунтована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актуальність,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мета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задачі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досліджень,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наведені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наукова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новизна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практичне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значення.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Вказані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зв’язок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роботи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з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науковими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програмами,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відомості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про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апробацію,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публікації,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структуру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обсяг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дисертації.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Перший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розділ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присвячений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реконструкції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різного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призначення.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Систематизовані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вимоги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включають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додаткові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підтримки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працездатності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властивостей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інженерних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мереж,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повністю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або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суттєво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вичерпали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значній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мірі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умови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безперервності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виробничого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підприємств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залежать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ефективності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запобігання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аварійних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ситуацій,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обслуговування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їхнього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методологічна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збереження,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відновлення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життєвого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циклу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розглядаються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результати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досліджень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рамках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цільової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комплексної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програми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НАН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України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«Проблеми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машин»,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виконувались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керівництвом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академіка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Б.Є.Патона.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Відзначений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суттєвий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внесок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розробку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теорії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нормування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таких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науковців,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Болотін,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Е.Ф.Гарф,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В.М.Гордєєв,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Л.М.Лобанов,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М.П.Мельников,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А.Я.Недосєка,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В.О.Троїцький,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В.І.Похмурський,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А.В.Перельмутер,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О.Р.Ржаніцин,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А.В.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Сильвестров,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М.С.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Стрєлецький,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В.П.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Стрєльніков,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В.Т.Трощенко,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В.М.Шимановський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Важливим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етапом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розглядаються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впливах.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Проаналізовані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С.Г.Ажермачева,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Г.І.Білого,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І.Д.Бєлова,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З.Я.Бліхарського,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М.Р.Бєльського,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М.В.Гоголя,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О.І.Голоднова,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Горєва,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Є.В.Горохова,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Є.А.Єгорова,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Є.М.Єрмака,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Д.Г.Зеленцова,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А.П.Іванова,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О.І.Кікіна,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Р.І.Кінаша,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В.П.Корольова,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А.І.Лантуха-Лященка,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М.О.Микитаренка,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В.П.Мущанова,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С.Ф.Пічугіна,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В.О.Пермякова,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Ю.М.Почтмана,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В.В.Стоянова,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А.М.Югова,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С.М.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Шаповалова,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Є.В.Шевченка,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О.В.Шимановського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ін.,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присвячені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розрахунково-експериментальним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методам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підвищення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Розглянуті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зниження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будівництві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С.М.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Булгакова,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М.Л.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Гринберга,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А.Г.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Тамразяна,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І.А.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Рахмана,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В.І.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Теличенка,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А.П.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Мельчакова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ін.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Показана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необхідність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використання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процесного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підходу,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заснованого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принципах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менеджменту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ISO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9001:2000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розробці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програм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забезпечення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надійності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виробничих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об'єктів.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Попередження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руйнування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подовження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залишкового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об'єктному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включає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аналізу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ризиків,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наслідків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критичності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відмов.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Наведено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структуру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фондів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«Донецьксталь»-металургійний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завод»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складу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входять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понад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500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загальним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об'ємом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понад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350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тис.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металоконструкцій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понад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100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тис.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perscript"/>
          <w:lang w:val="uk-UA"/>
        </w:rPr>
        <w:t>3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бетонних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залізобетонних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результатами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приблизно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60%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несучих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огороджувальних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мають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фізичний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знос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20%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рахунок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механічних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пошкоджень.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Сформульовані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задачі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керування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безпекою.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У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другому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розділі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наведене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підходу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ознаками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промислових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впливах.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Стабільність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безперервність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виробничих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негативних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забезпечується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умовами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можуть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представлені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вигляді:</w:t>
      </w:r>
    </w:p>
    <w:p w:rsidR="0049780B" w:rsidRPr="0049780B" w:rsidRDefault="005F15DF" w:rsidP="005F15DF">
      <w:pPr>
        <w:pStyle w:val="a3"/>
        <w:spacing w:line="360" w:lineRule="auto"/>
        <w:ind w:firstLine="709"/>
        <w:rPr>
          <w:b/>
          <w:szCs w:val="24"/>
          <w:lang w:val="uk-UA"/>
        </w:rPr>
      </w:pPr>
      <w:r>
        <w:rPr>
          <w:szCs w:val="24"/>
          <w:lang w:val="uk-UA"/>
        </w:rPr>
        <w:br w:type="page"/>
      </w:r>
      <w:r w:rsidR="00C157A7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29.6pt;margin-top:10.65pt;width:18pt;height:63pt;z-index:251657728">
            <w10:anchorlock/>
          </v:shape>
        </w:pict>
      </w:r>
      <w:r w:rsidR="00C157A7">
        <w:rPr>
          <w:b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37.5pt" fillcolor="window">
            <v:imagedata r:id="rId7" o:title=""/>
          </v:shape>
        </w:pict>
      </w:r>
    </w:p>
    <w:p w:rsidR="0049780B" w:rsidRPr="0049780B" w:rsidRDefault="00C157A7" w:rsidP="0049780B">
      <w:pPr>
        <w:tabs>
          <w:tab w:val="left" w:pos="9288"/>
        </w:tabs>
        <w:spacing w:line="360" w:lineRule="auto"/>
        <w:ind w:left="108" w:firstLine="709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pict>
          <v:shape id="_x0000_i1026" type="#_x0000_t75" style="width:117.75pt;height:36.75pt" fillcolor="window">
            <v:imagedata r:id="rId8" o:title=""/>
          </v:shape>
        </w:pict>
      </w:r>
      <w:r w:rsidR="0049780B"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;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="0049780B"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(1)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де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U</w:t>
      </w:r>
      <w:r w:rsidRPr="0049780B">
        <w:rPr>
          <w:szCs w:val="24"/>
          <w:vertAlign w:val="subscript"/>
          <w:lang w:val="uk-UA"/>
        </w:rPr>
        <w:t>i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витрати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підтримку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i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елемента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вибірки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N</w:t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працездатному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забезпечують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вимоги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грн/рік;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S</w:t>
      </w:r>
      <w:r w:rsidRPr="0049780B">
        <w:rPr>
          <w:iCs/>
          <w:szCs w:val="24"/>
          <w:vertAlign w:val="subscript"/>
          <w:lang w:val="uk-UA"/>
        </w:rPr>
        <w:t>d,i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втрати,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викликані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фізичним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зносом,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грн/рік;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S</w:t>
      </w:r>
      <w:r w:rsidRPr="0049780B">
        <w:rPr>
          <w:iCs/>
          <w:szCs w:val="24"/>
          <w:vertAlign w:val="subscript"/>
          <w:lang w:val="uk-UA"/>
        </w:rPr>
        <w:t>c,i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втрати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морального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старіння,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грн/рік;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T</w:t>
      </w:r>
      <w:r w:rsidRPr="0049780B">
        <w:rPr>
          <w:szCs w:val="24"/>
          <w:vertAlign w:val="subscript"/>
          <w:lang w:val="uk-UA"/>
        </w:rPr>
        <w:t>в</w:t>
      </w:r>
      <w:r w:rsidRPr="0049780B">
        <w:rPr>
          <w:iCs/>
          <w:szCs w:val="24"/>
          <w:vertAlign w:val="subscript"/>
          <w:lang w:val="uk-UA"/>
        </w:rPr>
        <w:t>,j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проміжок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часу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(рік),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відновлення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працездатності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мінімальних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витратах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j</w:t>
      </w:r>
      <w:r w:rsidRPr="0049780B">
        <w:rPr>
          <w:szCs w:val="24"/>
          <w:lang w:val="uk-UA"/>
        </w:rPr>
        <w:t>-того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елемента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вибірки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M</w:t>
      </w:r>
      <w:r w:rsidRPr="0049780B">
        <w:rPr>
          <w:szCs w:val="24"/>
          <w:lang w:val="uk-UA"/>
        </w:rPr>
        <w:t>),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ступінь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ушкоджень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вище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пошкоджуваності.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Розроблений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методичний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передбачає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етапи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R</w:t>
      </w:r>
      <w:r w:rsidRPr="0049780B">
        <w:rPr>
          <w:iCs/>
          <w:szCs w:val="24"/>
          <w:vertAlign w:val="subscript"/>
          <w:lang w:val="uk-UA"/>
        </w:rPr>
        <w:t>i</w:t>
      </w:r>
      <w:r w:rsidRPr="0049780B">
        <w:rPr>
          <w:iCs/>
          <w:szCs w:val="24"/>
          <w:lang w:val="uk-UA"/>
        </w:rPr>
        <w:t>,</w:t>
      </w:r>
      <w:r w:rsidR="0049780B">
        <w:rPr>
          <w:i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бал)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споруд:</w:t>
      </w:r>
    </w:p>
    <w:p w:rsidR="00410D75" w:rsidRPr="0049780B" w:rsidRDefault="00410D75" w:rsidP="0049780B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–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ab/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вибір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режиму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параметрів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результатами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пошкоджуваності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припустимим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інтервальним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значенням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ремонтопридатності;</w:t>
      </w:r>
    </w:p>
    <w:p w:rsidR="00410D75" w:rsidRPr="0049780B" w:rsidRDefault="00410D75" w:rsidP="0049780B">
      <w:pPr>
        <w:pStyle w:val="a3"/>
        <w:tabs>
          <w:tab w:val="left" w:pos="108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–</w:t>
      </w:r>
      <w:r w:rsidRPr="0049780B">
        <w:rPr>
          <w:szCs w:val="24"/>
          <w:lang w:val="uk-UA"/>
        </w:rPr>
        <w:tab/>
        <w:t>кількісна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T</w:t>
      </w:r>
      <w:r w:rsidRPr="0049780B">
        <w:rPr>
          <w:szCs w:val="24"/>
          <w:vertAlign w:val="subscript"/>
          <w:lang w:val="uk-UA"/>
        </w:rPr>
        <w:t>в</w:t>
      </w:r>
      <w:r w:rsidRPr="0049780B">
        <w:rPr>
          <w:iCs/>
          <w:szCs w:val="24"/>
          <w:vertAlign w:val="subscript"/>
          <w:lang w:val="uk-UA"/>
        </w:rPr>
        <w:t>,j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підставі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стійкість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довговічність;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tabs>
          <w:tab w:val="left" w:pos="108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–</w:t>
      </w:r>
      <w:r w:rsidRPr="0049780B">
        <w:rPr>
          <w:szCs w:val="24"/>
          <w:lang w:val="uk-UA"/>
        </w:rPr>
        <w:tab/>
        <w:t>аналіз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ступеня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(категорії)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ушкоджень;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tabs>
          <w:tab w:val="left" w:pos="108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–</w:t>
      </w:r>
      <w:r w:rsidRPr="0049780B">
        <w:rPr>
          <w:szCs w:val="24"/>
          <w:lang w:val="uk-UA"/>
        </w:rPr>
        <w:tab/>
        <w:t>оцінювання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погроз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(категорії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встановлених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конструкцій;</w:t>
      </w:r>
    </w:p>
    <w:p w:rsidR="00410D75" w:rsidRPr="0049780B" w:rsidRDefault="00410D75" w:rsidP="0049780B">
      <w:pPr>
        <w:pStyle w:val="a3"/>
        <w:tabs>
          <w:tab w:val="left" w:pos="1080"/>
        </w:tabs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–</w:t>
      </w:r>
      <w:r w:rsidRPr="0049780B">
        <w:rPr>
          <w:szCs w:val="24"/>
          <w:lang w:val="uk-UA"/>
        </w:rPr>
        <w:tab/>
        <w:t>відновлення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властивостей,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зниження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реалізації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ПЗН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виробничих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споруд.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Ступінь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lang w:val="uk-UA"/>
        </w:rPr>
        <w:sym w:font="Symbol" w:char="F051"/>
      </w:r>
      <w:r w:rsidRPr="0049780B">
        <w:rPr>
          <w:iCs/>
          <w:szCs w:val="24"/>
          <w:vertAlign w:val="subscript"/>
          <w:lang w:val="uk-UA"/>
        </w:rPr>
        <w:t>f</w:t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формулою:</w:t>
      </w:r>
      <w:r w:rsidR="0049780B">
        <w:rPr>
          <w:szCs w:val="24"/>
          <w:lang w:val="uk-UA"/>
        </w:rPr>
        <w:t xml:space="preserve"> 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9780B" w:rsidRPr="0049780B" w:rsidRDefault="00C157A7" w:rsidP="0049780B">
      <w:pPr>
        <w:pStyle w:val="a3"/>
        <w:tabs>
          <w:tab w:val="left" w:pos="8893"/>
        </w:tabs>
        <w:spacing w:line="360" w:lineRule="auto"/>
        <w:ind w:firstLine="709"/>
        <w:jc w:val="left"/>
        <w:rPr>
          <w:szCs w:val="24"/>
          <w:lang w:val="uk-UA"/>
        </w:rPr>
      </w:pPr>
      <w:r>
        <w:rPr>
          <w:szCs w:val="24"/>
          <w:lang w:val="uk-UA"/>
        </w:rPr>
        <w:pict>
          <v:shape id="_x0000_i1027" type="#_x0000_t75" style="width:63.75pt;height:30.75pt">
            <v:imagedata r:id="rId9" o:title=""/>
          </v:shape>
        </w:pict>
      </w:r>
      <w:r w:rsidR="0049780B">
        <w:rPr>
          <w:szCs w:val="24"/>
          <w:lang w:val="uk-UA"/>
        </w:rPr>
        <w:t xml:space="preserve"> ь</w:t>
      </w:r>
      <w:r w:rsidR="0049780B" w:rsidRPr="0049780B">
        <w:rPr>
          <w:szCs w:val="24"/>
          <w:lang w:val="uk-UA"/>
        </w:rPr>
        <w:t>(2)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де</w:t>
      </w:r>
      <w:r w:rsidR="0049780B">
        <w:rPr>
          <w:szCs w:val="24"/>
          <w:lang w:val="uk-UA"/>
        </w:rPr>
        <w:t xml:space="preserve"> </w:t>
      </w:r>
      <w:r w:rsidRPr="0049780B">
        <w:rPr>
          <w:lang w:val="uk-UA"/>
        </w:rPr>
        <w:sym w:font="Symbol" w:char="F077"/>
      </w:r>
      <w:r w:rsidRPr="0049780B">
        <w:rPr>
          <w:szCs w:val="24"/>
          <w:vertAlign w:val="subscript"/>
          <w:lang w:val="uk-UA"/>
        </w:rPr>
        <w:t>i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вагова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виявлених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недосконалостей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конструкції;</w:t>
      </w:r>
      <w:r w:rsidR="0049780B">
        <w:rPr>
          <w:szCs w:val="24"/>
          <w:lang w:val="uk-UA"/>
        </w:rPr>
        <w:t xml:space="preserve"> </w:t>
      </w:r>
      <w:r w:rsidRPr="0049780B">
        <w:rPr>
          <w:lang w:val="uk-UA"/>
        </w:rPr>
        <w:sym w:font="Symbol" w:char="F06E"/>
      </w:r>
      <w:r w:rsidRPr="0049780B">
        <w:rPr>
          <w:szCs w:val="24"/>
          <w:vertAlign w:val="subscript"/>
          <w:lang w:val="uk-UA"/>
        </w:rPr>
        <w:t>i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відносна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частота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виявлення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ушкоджень,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1/рік.</w:t>
      </w:r>
      <w:r w:rsidR="0049780B">
        <w:rPr>
          <w:szCs w:val="24"/>
          <w:lang w:val="uk-UA"/>
        </w:rPr>
        <w:t xml:space="preserve"> 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підставі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реєстрації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ушкоджень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призначається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безперервного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або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вибіркового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(табл.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категорії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виявлених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недосконалостей.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Вибірковий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трьох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видів: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посилений,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нормальний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послаблений.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(Т</w:t>
      </w:r>
      <w:r w:rsidRPr="0049780B">
        <w:rPr>
          <w:szCs w:val="24"/>
          <w:vertAlign w:val="subscript"/>
          <w:lang w:val="uk-UA"/>
        </w:rPr>
        <w:t>в</w:t>
      </w:r>
      <w:r w:rsidRPr="0049780B">
        <w:rPr>
          <w:szCs w:val="24"/>
          <w:lang w:val="uk-UA"/>
        </w:rPr>
        <w:t>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рік)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формулою: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9780B" w:rsidRPr="0049780B" w:rsidRDefault="0049780B" w:rsidP="0049780B">
      <w:pPr>
        <w:pStyle w:val="a3"/>
        <w:tabs>
          <w:tab w:val="left" w:pos="8893"/>
        </w:tabs>
        <w:spacing w:line="360" w:lineRule="auto"/>
        <w:ind w:firstLine="709"/>
        <w:jc w:val="left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Т</w:t>
      </w:r>
      <w:r w:rsidRPr="0049780B">
        <w:rPr>
          <w:bCs/>
          <w:szCs w:val="24"/>
          <w:vertAlign w:val="subscript"/>
          <w:lang w:val="uk-UA"/>
        </w:rPr>
        <w:t>в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=Т</w:t>
      </w:r>
      <w:r w:rsidRPr="0049780B">
        <w:rPr>
          <w:bCs/>
          <w:szCs w:val="24"/>
          <w:vertAlign w:val="subscript"/>
          <w:lang w:val="uk-UA"/>
        </w:rPr>
        <w:t>о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+</w:t>
      </w:r>
      <w:r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Т</w:t>
      </w:r>
      <w:r w:rsidRPr="0049780B">
        <w:rPr>
          <w:bCs/>
          <w:szCs w:val="24"/>
          <w:vertAlign w:val="subscript"/>
          <w:lang w:val="uk-UA"/>
        </w:rPr>
        <w:t>у</w:t>
      </w:r>
      <w:r w:rsidRPr="0049780B">
        <w:rPr>
          <w:bCs/>
          <w:szCs w:val="24"/>
          <w:lang w:val="uk-UA"/>
        </w:rPr>
        <w:t>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(3)</w:t>
      </w: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bscript"/>
          <w:lang w:val="uk-UA"/>
        </w:rPr>
        <w:t>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тривалість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виявленні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дефектів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пошкоджень,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рік;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bscript"/>
          <w:lang w:val="uk-UA"/>
        </w:rPr>
        <w:t>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тривалість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обслуговування</w:t>
      </w:r>
      <w:r w:rsidR="0049780B">
        <w:rPr>
          <w:rFonts w:ascii="Times New Roman" w:hAnsi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рік.</w:t>
      </w:r>
    </w:p>
    <w:p w:rsidR="005F15DF" w:rsidRDefault="005F15DF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Таблиця</w:t>
      </w:r>
      <w:r w:rsid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1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Режим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стану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відновлення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експлуатаційних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властивостей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9"/>
        <w:gridCol w:w="2140"/>
        <w:gridCol w:w="1651"/>
        <w:gridCol w:w="3702"/>
      </w:tblGrid>
      <w:tr w:rsidR="00410D75" w:rsidRPr="0049780B" w:rsidTr="0049780B">
        <w:tc>
          <w:tcPr>
            <w:tcW w:w="1829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Група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ремонто-придатності</w:t>
            </w:r>
          </w:p>
        </w:tc>
        <w:tc>
          <w:tcPr>
            <w:tcW w:w="2140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Показник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ремонто-придатності,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в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51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Режим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3702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Характеристика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виду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дефектів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ушкоджень</w:t>
            </w:r>
          </w:p>
        </w:tc>
      </w:tr>
      <w:tr w:rsidR="00410D75" w:rsidRPr="0049780B" w:rsidTr="0049780B">
        <w:tc>
          <w:tcPr>
            <w:tcW w:w="1829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І</w:t>
            </w:r>
          </w:p>
        </w:tc>
        <w:tc>
          <w:tcPr>
            <w:tcW w:w="2140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3C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в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A3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651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Безперервний</w:t>
            </w:r>
          </w:p>
        </w:tc>
        <w:tc>
          <w:tcPr>
            <w:tcW w:w="3702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Наявність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хоча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б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одного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критичного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дефекту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або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пошкодження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(категорія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«А»).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Припускаються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недосконалості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категорій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«Б»,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«В».</w:t>
            </w:r>
          </w:p>
        </w:tc>
      </w:tr>
      <w:tr w:rsidR="00410D75" w:rsidRPr="0049780B" w:rsidTr="0049780B">
        <w:tc>
          <w:tcPr>
            <w:tcW w:w="1829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ІІ</w:t>
            </w:r>
          </w:p>
        </w:tc>
        <w:tc>
          <w:tcPr>
            <w:tcW w:w="2140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0,02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3C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в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A3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0,08</w:t>
            </w:r>
          </w:p>
        </w:tc>
        <w:tc>
          <w:tcPr>
            <w:tcW w:w="1651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Посилений</w:t>
            </w:r>
          </w:p>
        </w:tc>
        <w:tc>
          <w:tcPr>
            <w:tcW w:w="3702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Є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один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або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кілька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дефектів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або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пошкоджень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(категорія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«Б»).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Припускаються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недосконалості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категорії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«В».</w:t>
            </w:r>
          </w:p>
        </w:tc>
      </w:tr>
      <w:tr w:rsidR="00410D75" w:rsidRPr="0049780B" w:rsidTr="0049780B">
        <w:tc>
          <w:tcPr>
            <w:tcW w:w="1829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140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0,08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3C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в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A3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0,5</w:t>
            </w:r>
          </w:p>
        </w:tc>
        <w:tc>
          <w:tcPr>
            <w:tcW w:w="1651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Нормальний</w:t>
            </w:r>
          </w:p>
        </w:tc>
        <w:tc>
          <w:tcPr>
            <w:tcW w:w="3702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Є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незначні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дефекти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або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пошкодження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(категорія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«В»)</w:t>
            </w:r>
          </w:p>
        </w:tc>
      </w:tr>
      <w:tr w:rsidR="00410D75" w:rsidRPr="0049780B" w:rsidTr="0049780B">
        <w:tc>
          <w:tcPr>
            <w:tcW w:w="1829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ІV</w:t>
            </w:r>
          </w:p>
        </w:tc>
        <w:tc>
          <w:tcPr>
            <w:tcW w:w="2140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в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3E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0,5</w:t>
            </w:r>
          </w:p>
        </w:tc>
        <w:tc>
          <w:tcPr>
            <w:tcW w:w="1651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Послаблений</w:t>
            </w:r>
          </w:p>
        </w:tc>
        <w:tc>
          <w:tcPr>
            <w:tcW w:w="3702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Дефекти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пошкодження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категорій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«А»,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«Б»,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«В»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відсутні.</w:t>
            </w:r>
          </w:p>
        </w:tc>
      </w:tr>
    </w:tbl>
    <w:p w:rsidR="005F15DF" w:rsidRDefault="005F15DF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характеристика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агресивних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впливах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приймається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характеристичне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значення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втрат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(A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bscript"/>
          <w:lang w:val="uk-UA"/>
        </w:rPr>
        <w:t>n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г/м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perscript"/>
          <w:lang w:val="uk-UA"/>
        </w:rPr>
        <w:t>2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рік).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Розрахункові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річні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втрати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зовнішніх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факторів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агресивних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A</w:t>
      </w:r>
      <w:r w:rsidRPr="0049780B">
        <w:rPr>
          <w:szCs w:val="24"/>
          <w:lang w:val="uk-UA"/>
        </w:rPr>
        <w:t>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г/м</w:t>
      </w:r>
      <w:r w:rsidRPr="0049780B">
        <w:rPr>
          <w:szCs w:val="24"/>
          <w:vertAlign w:val="superscript"/>
          <w:lang w:val="uk-UA"/>
        </w:rPr>
        <w:t>2</w:t>
      </w:r>
      <w:r w:rsidRPr="0049780B">
        <w:rPr>
          <w:szCs w:val="24"/>
          <w:lang w:val="uk-UA"/>
        </w:rPr>
        <w:t>рік)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формулою: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9780B" w:rsidRPr="0049780B" w:rsidRDefault="00C157A7" w:rsidP="0049780B">
      <w:pPr>
        <w:pStyle w:val="a3"/>
        <w:tabs>
          <w:tab w:val="left" w:pos="8893"/>
        </w:tabs>
        <w:spacing w:line="360" w:lineRule="auto"/>
        <w:ind w:firstLine="709"/>
        <w:jc w:val="left"/>
        <w:rPr>
          <w:szCs w:val="24"/>
          <w:lang w:val="uk-UA"/>
        </w:rPr>
      </w:pPr>
      <w:r>
        <w:rPr>
          <w:szCs w:val="24"/>
          <w:lang w:val="uk-UA"/>
        </w:rPr>
        <w:pict>
          <v:shape id="_x0000_i1028" type="#_x0000_t75" style="width:92.25pt;height:18.75pt">
            <v:imagedata r:id="rId10" o:title=""/>
          </v:shape>
        </w:pict>
      </w:r>
      <w:r w:rsidR="0049780B">
        <w:rPr>
          <w:szCs w:val="24"/>
          <w:lang w:val="uk-UA"/>
        </w:rPr>
        <w:t xml:space="preserve"> </w:t>
      </w:r>
      <w:r w:rsidR="0049780B" w:rsidRPr="0049780B">
        <w:rPr>
          <w:szCs w:val="24"/>
          <w:lang w:val="uk-UA"/>
        </w:rPr>
        <w:t>(4)</w:t>
      </w: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74"/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—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тривалість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впливів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корозійно-активних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компонентів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годинах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рік;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67"/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vertAlign w:val="subscript"/>
          <w:lang w:val="uk-UA"/>
        </w:rPr>
        <w:t>fk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—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коефіцієнт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надійності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впливами,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залежить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ступеня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агресивності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категорії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Розрахункові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річні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втрати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A</w:t>
      </w:r>
      <w:r w:rsidRPr="0049780B">
        <w:rPr>
          <w:iCs/>
          <w:szCs w:val="24"/>
          <w:vertAlign w:val="subscript"/>
          <w:lang w:val="uk-UA"/>
        </w:rPr>
        <w:t>k</w:t>
      </w:r>
      <w:r w:rsidRPr="0049780B">
        <w:rPr>
          <w:szCs w:val="24"/>
          <w:lang w:val="uk-UA"/>
        </w:rPr>
        <w:t>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г/м</w:t>
      </w:r>
      <w:r w:rsidRPr="0049780B">
        <w:rPr>
          <w:szCs w:val="24"/>
          <w:vertAlign w:val="superscript"/>
          <w:lang w:val="uk-UA"/>
        </w:rPr>
        <w:t>2</w:t>
      </w:r>
      <w:r w:rsidRPr="0049780B">
        <w:rPr>
          <w:szCs w:val="24"/>
          <w:lang w:val="uk-UA"/>
        </w:rPr>
        <w:t>рік)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формулою:</w:t>
      </w:r>
    </w:p>
    <w:p w:rsidR="0049780B" w:rsidRDefault="0049780B" w:rsidP="0049780B">
      <w:pPr>
        <w:pStyle w:val="a3"/>
        <w:tabs>
          <w:tab w:val="left" w:pos="9080"/>
        </w:tabs>
        <w:spacing w:line="360" w:lineRule="auto"/>
        <w:ind w:firstLine="709"/>
        <w:jc w:val="left"/>
        <w:rPr>
          <w:szCs w:val="24"/>
          <w:lang w:val="uk-UA"/>
        </w:rPr>
      </w:pPr>
    </w:p>
    <w:p w:rsidR="0049780B" w:rsidRPr="0049780B" w:rsidRDefault="00C157A7" w:rsidP="0049780B">
      <w:pPr>
        <w:pStyle w:val="a3"/>
        <w:tabs>
          <w:tab w:val="left" w:pos="9080"/>
        </w:tabs>
        <w:spacing w:line="360" w:lineRule="auto"/>
        <w:ind w:firstLine="709"/>
        <w:jc w:val="left"/>
        <w:rPr>
          <w:szCs w:val="24"/>
          <w:lang w:val="uk-UA"/>
        </w:rPr>
      </w:pPr>
      <w:r>
        <w:rPr>
          <w:szCs w:val="24"/>
          <w:lang w:val="uk-UA"/>
        </w:rPr>
        <w:pict>
          <v:shape id="_x0000_i1029" type="#_x0000_t75" style="width:83.25pt;height:21pt" fillcolor="window">
            <v:imagedata r:id="rId11" o:title=""/>
          </v:shape>
        </w:pict>
      </w:r>
      <w:r w:rsidR="0049780B">
        <w:rPr>
          <w:szCs w:val="24"/>
          <w:lang w:val="uk-UA"/>
        </w:rPr>
        <w:t xml:space="preserve"> </w:t>
      </w:r>
      <w:r w:rsidR="0049780B" w:rsidRPr="0049780B">
        <w:rPr>
          <w:szCs w:val="24"/>
          <w:lang w:val="uk-UA"/>
        </w:rPr>
        <w:t>(5)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де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lang w:val="uk-UA"/>
        </w:rPr>
        <w:sym w:font="Symbol" w:char="F067"/>
      </w:r>
      <w:r w:rsidRPr="0049780B">
        <w:rPr>
          <w:iCs/>
          <w:szCs w:val="24"/>
          <w:vertAlign w:val="subscript"/>
          <w:lang w:val="uk-UA"/>
        </w:rPr>
        <w:t>mk</w:t>
      </w:r>
      <w:r w:rsidR="0049780B">
        <w:rPr>
          <w:i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матеріалом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оцінці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ступеня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агресивності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впливів;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lang w:val="uk-UA"/>
        </w:rPr>
        <w:sym w:font="Symbol" w:char="F061"/>
      </w:r>
      <w:r w:rsidRPr="0049780B">
        <w:rPr>
          <w:iCs/>
          <w:szCs w:val="24"/>
          <w:vertAlign w:val="subscript"/>
          <w:lang w:val="uk-UA"/>
        </w:rPr>
        <w:t>f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враховує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нерівномірність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руйнування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перетину.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Результатами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масиви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lang w:val="uk-UA"/>
        </w:rPr>
        <w:sym w:font="Symbol" w:char="F067"/>
      </w:r>
      <w:r w:rsidRPr="0049780B">
        <w:rPr>
          <w:szCs w:val="24"/>
          <w:vertAlign w:val="subscript"/>
          <w:lang w:val="uk-UA"/>
        </w:rPr>
        <w:t>zf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стійкості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(К,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мм/рік)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строку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(Т,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рік)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елементів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(рис.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1).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залишкового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(T</w:t>
      </w:r>
      <w:r w:rsidRPr="0049780B">
        <w:rPr>
          <w:szCs w:val="24"/>
          <w:vertAlign w:val="subscript"/>
          <w:lang w:val="uk-UA"/>
        </w:rPr>
        <w:t>r</w:t>
      </w:r>
      <w:r w:rsidRPr="0049780B">
        <w:rPr>
          <w:vertAlign w:val="subscript"/>
          <w:lang w:val="uk-UA"/>
        </w:rPr>
        <w:sym w:font="Symbol" w:char="F067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виконується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lang w:val="uk-UA"/>
        </w:rPr>
        <w:sym w:font="Symbol" w:char="F067"/>
      </w:r>
      <w:r w:rsidRPr="0049780B">
        <w:rPr>
          <w:szCs w:val="24"/>
          <w:vertAlign w:val="subscript"/>
          <w:lang w:val="uk-UA"/>
        </w:rPr>
        <w:t>zf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стратегії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обслуговування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агресивних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середовищах.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залишкового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(T</w:t>
      </w:r>
      <w:r w:rsidRPr="0049780B">
        <w:rPr>
          <w:szCs w:val="24"/>
          <w:vertAlign w:val="subscript"/>
          <w:lang w:val="uk-UA"/>
        </w:rPr>
        <w:t>r</w:t>
      </w:r>
      <w:r w:rsidRPr="0049780B">
        <w:rPr>
          <w:vertAlign w:val="subscript"/>
          <w:lang w:val="uk-UA"/>
        </w:rPr>
        <w:sym w:font="Symbol" w:char="F067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прикладі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однорідних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елементів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шихтового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прольоту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мартенівського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цеху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наведені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табл.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2.</w:t>
      </w: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Систематизація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показників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стійкості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довговічності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виконана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основних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груп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цехів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ВАТ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«Донецьксталь»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-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металургійний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завод»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даними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розрахунково-експериментального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F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bscript"/>
          <w:lang w:val="uk-UA"/>
        </w:rPr>
        <w:t>e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включає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аналіз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пошкоджуваності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відхиленню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середини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поля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допуску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(метод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Тагуті).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9780B" w:rsidRPr="0049780B" w:rsidRDefault="0049780B" w:rsidP="0049780B">
      <w:pPr>
        <w:tabs>
          <w:tab w:val="left" w:pos="4953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корозійного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об'єктів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(параметри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«виходу»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системи)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дозволяють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зробити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аналіз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вимог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(параметри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«входу»)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обґрунтування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регламенту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ремонтно-відновлюваних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робіт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урахуванням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показників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післяремонтної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несучої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здатності.</w:t>
      </w: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Таблиця</w:t>
      </w:r>
      <w:r w:rsid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2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Специфікація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параметрів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залишкового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однорідних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конструктивних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елементів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2123"/>
        <w:gridCol w:w="2651"/>
        <w:gridCol w:w="2070"/>
      </w:tblGrid>
      <w:tr w:rsidR="00410D75" w:rsidRPr="0049780B" w:rsidTr="0049780B">
        <w:trPr>
          <w:cantSplit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Прольот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шихтовий</w:t>
            </w:r>
          </w:p>
        </w:tc>
        <w:tc>
          <w:tcPr>
            <w:tcW w:w="2123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Показник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якості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експлуатації,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F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e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(номер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осей)</w:t>
            </w:r>
          </w:p>
        </w:tc>
        <w:tc>
          <w:tcPr>
            <w:tcW w:w="2651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Ступінь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агресивності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впливів,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lang w:val="uk-UA"/>
              </w:rPr>
              <w:t>A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vertAlign w:val="subscript"/>
                <w:lang w:val="uk-UA"/>
              </w:rPr>
              <w:t>n</w:t>
            </w:r>
            <w:r w:rsidRPr="0049780B">
              <w:rPr>
                <w:rFonts w:ascii="Times New Roman" w:hAnsi="Times New Roman" w:cs="Times New Roman"/>
                <w:b w:val="0"/>
                <w:spacing w:val="0"/>
                <w:sz w:val="20"/>
                <w:szCs w:val="20"/>
                <w:lang w:val="uk-UA"/>
              </w:rPr>
              <w:t>,</w:t>
            </w:r>
            <w:r w:rsidR="0049780B">
              <w:rPr>
                <w:rFonts w:ascii="Times New Roman" w:hAnsi="Times New Roman" w:cs="Times New Roman"/>
                <w:b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г/(м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perscript"/>
                <w:lang w:val="uk-UA"/>
              </w:rPr>
              <w:t>2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рік)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Залишковий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ресурс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конструкцій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T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r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sym w:font="Symbol" w:char="F067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років</w:t>
            </w:r>
          </w:p>
        </w:tc>
      </w:tr>
      <w:tr w:rsidR="00410D75" w:rsidRPr="0049780B" w:rsidTr="0049780B">
        <w:trPr>
          <w:cantSplit/>
          <w:trHeight w:val="770"/>
        </w:trPr>
        <w:tc>
          <w:tcPr>
            <w:tcW w:w="817" w:type="dxa"/>
            <w:vMerge w:val="restart"/>
            <w:tcBorders>
              <w:top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Кроквяні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ферми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та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ліхтареві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конструкції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1,24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–1,35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осях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10-22)</w:t>
            </w:r>
          </w:p>
        </w:tc>
        <w:tc>
          <w:tcPr>
            <w:tcW w:w="2651" w:type="dxa"/>
            <w:tcBorders>
              <w:top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Неагресивні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впливи,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250–400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6,5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–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7,0</w:t>
            </w:r>
          </w:p>
        </w:tc>
      </w:tr>
      <w:tr w:rsidR="00410D75" w:rsidRPr="0049780B" w:rsidTr="0049780B">
        <w:trPr>
          <w:cantSplit/>
          <w:trHeight w:val="770"/>
        </w:trPr>
        <w:tc>
          <w:tcPr>
            <w:tcW w:w="817" w:type="dxa"/>
            <w:vMerge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1,16-1,30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осях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22-34)</w:t>
            </w:r>
          </w:p>
        </w:tc>
        <w:tc>
          <w:tcPr>
            <w:tcW w:w="2651" w:type="dxa"/>
            <w:tcBorders>
              <w:top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Слабоагресивні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впливи,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500-750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6,5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–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</w:tr>
      <w:tr w:rsidR="00410D75" w:rsidRPr="0049780B" w:rsidTr="0049780B">
        <w:trPr>
          <w:cantSplit/>
          <w:trHeight w:val="954"/>
        </w:trPr>
        <w:tc>
          <w:tcPr>
            <w:tcW w:w="817" w:type="dxa"/>
            <w:vMerge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2123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0,91-1,01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осях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1-10)</w:t>
            </w:r>
          </w:p>
        </w:tc>
        <w:tc>
          <w:tcPr>
            <w:tcW w:w="2651" w:type="dxa"/>
            <w:vMerge w:val="restart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Низькоагресивні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впливи,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750–1200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5,0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–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6,0</w:t>
            </w:r>
          </w:p>
        </w:tc>
      </w:tr>
      <w:tr w:rsidR="00410D75" w:rsidRPr="0049780B" w:rsidTr="0049780B">
        <w:trPr>
          <w:cantSplit/>
          <w:trHeight w:val="116"/>
        </w:trPr>
        <w:tc>
          <w:tcPr>
            <w:tcW w:w="817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Колони</w:t>
            </w:r>
          </w:p>
        </w:tc>
        <w:tc>
          <w:tcPr>
            <w:tcW w:w="2123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1,54-1,66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осях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1-34)</w:t>
            </w:r>
          </w:p>
        </w:tc>
        <w:tc>
          <w:tcPr>
            <w:tcW w:w="2651" w:type="dxa"/>
            <w:vMerge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8,0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–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9,0</w:t>
            </w:r>
          </w:p>
        </w:tc>
      </w:tr>
      <w:tr w:rsidR="00410D75" w:rsidRPr="0049780B" w:rsidTr="0049780B">
        <w:trPr>
          <w:cantSplit/>
          <w:trHeight w:val="329"/>
        </w:trPr>
        <w:tc>
          <w:tcPr>
            <w:tcW w:w="817" w:type="dxa"/>
            <w:tcBorders>
              <w:bottom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Підкранові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балки</w:t>
            </w:r>
          </w:p>
        </w:tc>
        <w:tc>
          <w:tcPr>
            <w:tcW w:w="2123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1,89-2,07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(в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осях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1-34)</w:t>
            </w:r>
          </w:p>
        </w:tc>
        <w:tc>
          <w:tcPr>
            <w:tcW w:w="2651" w:type="dxa"/>
            <w:vMerge/>
            <w:tcBorders>
              <w:bottom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11,0-12,0</w:t>
            </w:r>
          </w:p>
        </w:tc>
      </w:tr>
    </w:tbl>
    <w:p w:rsidR="0049780B" w:rsidRPr="0049780B" w:rsidRDefault="0049780B" w:rsidP="0049780B">
      <w:pPr>
        <w:pStyle w:val="a3"/>
        <w:spacing w:line="360" w:lineRule="auto"/>
        <w:ind w:firstLine="0"/>
        <w:rPr>
          <w:sz w:val="20"/>
          <w:szCs w:val="20"/>
          <w:lang w:val="uk-UA"/>
        </w:rPr>
      </w:pP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Завдання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критеріїв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виконується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допомогою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зворотного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зв'язку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79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підставі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залежності: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9780B" w:rsidRPr="0049780B" w:rsidRDefault="00C157A7" w:rsidP="0049780B">
      <w:pPr>
        <w:pStyle w:val="a3"/>
        <w:tabs>
          <w:tab w:val="left" w:pos="9310"/>
        </w:tabs>
        <w:spacing w:line="360" w:lineRule="auto"/>
        <w:ind w:firstLine="709"/>
        <w:jc w:val="left"/>
        <w:rPr>
          <w:szCs w:val="24"/>
          <w:lang w:val="uk-UA"/>
        </w:rPr>
      </w:pPr>
      <w:r>
        <w:rPr>
          <w:szCs w:val="24"/>
          <w:lang w:val="uk-UA"/>
        </w:rPr>
        <w:pict>
          <v:shape id="_x0000_i1030" type="#_x0000_t75" style="width:72.75pt;height:17.25pt">
            <v:imagedata r:id="rId12" o:title=""/>
          </v:shape>
        </w:pict>
      </w:r>
      <w:r w:rsidR="0049780B" w:rsidRPr="0049780B">
        <w:rPr>
          <w:szCs w:val="24"/>
          <w:lang w:val="uk-UA"/>
        </w:rPr>
        <w:t>,</w:t>
      </w:r>
      <w:r w:rsidR="0049780B">
        <w:rPr>
          <w:szCs w:val="24"/>
          <w:lang w:val="uk-UA"/>
        </w:rPr>
        <w:t xml:space="preserve"> </w:t>
      </w:r>
      <w:r w:rsidR="0049780B" w:rsidRPr="0049780B">
        <w:rPr>
          <w:szCs w:val="24"/>
          <w:lang w:val="uk-UA"/>
        </w:rPr>
        <w:t>(6)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де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N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найбільше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зусилля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елементі,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кН;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зусилля,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кН,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сприйняти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елемент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пошкоджуваності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lang w:val="uk-UA"/>
        </w:rPr>
        <w:sym w:font="Symbol" w:char="F051"/>
      </w:r>
      <w:r w:rsidRPr="0049780B">
        <w:rPr>
          <w:iCs/>
          <w:szCs w:val="24"/>
          <w:vertAlign w:val="subscript"/>
          <w:lang w:val="uk-UA"/>
        </w:rPr>
        <w:t>f</w:t>
      </w:r>
      <w:r w:rsidRPr="0049780B">
        <w:rPr>
          <w:szCs w:val="24"/>
          <w:lang w:val="uk-UA"/>
        </w:rPr>
        <w:t>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відношення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резерву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надійності.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Використання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зворотного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зв'язку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79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забезпечує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реалізацію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аналітичного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підходу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керування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безпекою,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програм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рішення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завдань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причин,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наслідків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відмов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(FMEA)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відмов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(FMECA).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цьому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критерієм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залишається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68"/>
      </w:r>
      <w:r w:rsidRPr="0049780B">
        <w:rPr>
          <w:szCs w:val="24"/>
          <w:lang w:val="uk-UA"/>
        </w:rPr>
        <w:t>),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пропускну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регулювання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ресурсу: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9780B" w:rsidRPr="0049780B" w:rsidRDefault="0049780B" w:rsidP="0049780B">
      <w:pPr>
        <w:pStyle w:val="a3"/>
        <w:tabs>
          <w:tab w:val="left" w:pos="9039"/>
        </w:tabs>
        <w:spacing w:line="360" w:lineRule="auto"/>
        <w:ind w:firstLine="709"/>
        <w:jc w:val="left"/>
        <w:rPr>
          <w:szCs w:val="24"/>
          <w:lang w:val="uk-UA"/>
        </w:rPr>
      </w:pPr>
      <w:r w:rsidRPr="0049780B">
        <w:rPr>
          <w:bCs/>
          <w:lang w:val="uk-UA"/>
        </w:rPr>
        <w:sym w:font="Symbol" w:char="F068"/>
      </w:r>
      <w:r w:rsidRPr="0049780B">
        <w:rPr>
          <w:szCs w:val="24"/>
          <w:lang w:val="uk-UA"/>
        </w:rPr>
        <w:t>=</w:t>
      </w:r>
      <w:r>
        <w:rPr>
          <w:b/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1/(Г-</w:t>
      </w:r>
      <w:r w:rsidRPr="0049780B">
        <w:rPr>
          <w:bCs/>
          <w:lang w:val="uk-UA"/>
        </w:rPr>
        <w:sym w:font="Symbol" w:char="F079"/>
      </w:r>
      <w:r w:rsidRPr="0049780B">
        <w:rPr>
          <w:bCs/>
          <w:szCs w:val="24"/>
          <w:lang w:val="uk-UA"/>
        </w:rPr>
        <w:t>).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(7)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накопиченні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пошкоджень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lang w:val="uk-UA"/>
        </w:rPr>
        <w:sym w:font="Symbol" w:char="F051"/>
      </w:r>
      <w:r w:rsidRPr="0049780B">
        <w:rPr>
          <w:iCs/>
          <w:szCs w:val="24"/>
          <w:vertAlign w:val="subscript"/>
          <w:lang w:val="uk-UA"/>
        </w:rPr>
        <w:t>f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зворотного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зв'язку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79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характеризує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зниження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встановленому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проектному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відношення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резерву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(Г).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негативних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зовнішніх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факторів</w:t>
      </w:r>
      <w:r w:rsidR="0049780B">
        <w:rPr>
          <w:iCs/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A(L,G,S,T,R</w:t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внутрішніх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параметрів</w:t>
      </w:r>
      <w:r w:rsidR="0049780B">
        <w:rPr>
          <w:iCs/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A(f</w:t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викликають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руйнування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появу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ознак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Пропускна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регулювання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характеризує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припустиму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зміну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проектного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відношення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резерву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(Г)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відновлення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працездатного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рахунок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конструктивно-технологічних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обмежень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необхідної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Скінченно-елементне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напружено-деформованого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(НДС)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79"/>
      </w:r>
      <w:r w:rsidRPr="0049780B">
        <w:rPr>
          <w:szCs w:val="24"/>
          <w:lang w:val="uk-UA"/>
        </w:rPr>
        <w:t>,</w:t>
      </w:r>
      <w:r w:rsidRPr="0049780B">
        <w:rPr>
          <w:lang w:val="uk-UA"/>
        </w:rPr>
        <w:sym w:font="Symbol" w:char="F068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інтегрованого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комплексу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SCAD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7.29.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Третій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розділ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містить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розрахунково-експериментальне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обстежень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металургійного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виробництва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встановлено,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параметри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суттєво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залежать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умов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робіт,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вимог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  <w:r w:rsidR="0049780B">
        <w:rPr>
          <w:szCs w:val="24"/>
          <w:lang w:val="uk-UA"/>
        </w:rPr>
        <w:t xml:space="preserve"> </w:t>
      </w:r>
    </w:p>
    <w:p w:rsidR="00410D75" w:rsidRDefault="00410D75" w:rsidP="0049780B">
      <w:pPr>
        <w:pStyle w:val="a3"/>
        <w:spacing w:line="360" w:lineRule="auto"/>
        <w:ind w:firstLine="709"/>
        <w:rPr>
          <w:snapToGrid w:val="0"/>
          <w:szCs w:val="24"/>
          <w:lang w:val="uk-UA"/>
        </w:rPr>
      </w:pP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завданні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вимог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етапі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вибір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засобів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поновлення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протикорозійного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робиться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готовності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K</w:t>
      </w:r>
      <w:r w:rsidRPr="0049780B">
        <w:rPr>
          <w:iCs/>
          <w:szCs w:val="24"/>
          <w:vertAlign w:val="subscript"/>
          <w:lang w:val="uk-UA"/>
        </w:rPr>
        <w:t>g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szCs w:val="24"/>
          <w:lang w:val="uk-UA"/>
        </w:rPr>
        <w:t>).</w:t>
      </w:r>
      <w:r w:rsidR="0049780B">
        <w:rPr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Завдання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визначення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готовності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впливах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A</w:t>
      </w:r>
      <w:r w:rsidRPr="0049780B">
        <w:rPr>
          <w:iCs/>
          <w:szCs w:val="24"/>
          <w:vertAlign w:val="subscript"/>
          <w:lang w:val="uk-UA"/>
        </w:rPr>
        <w:t>n</w:t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сформульоване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як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розрахунок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сталевих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конструкцій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граничними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станами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стійкість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довговічність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для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обґрунтування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техніко-економічних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показників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продовження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ресурсу: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napToGrid w:val="0"/>
          <w:szCs w:val="24"/>
          <w:lang w:val="uk-U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513"/>
        <w:gridCol w:w="1276"/>
      </w:tblGrid>
      <w:tr w:rsidR="00410D75" w:rsidRPr="0049780B" w:rsidTr="00EB7718">
        <w:trPr>
          <w:cantSplit/>
        </w:trPr>
        <w:tc>
          <w:tcPr>
            <w:tcW w:w="8789" w:type="dxa"/>
            <w:gridSpan w:val="2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граничний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стан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I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групи</w:t>
            </w:r>
          </w:p>
        </w:tc>
      </w:tr>
      <w:tr w:rsidR="00410D75" w:rsidRPr="0049780B" w:rsidTr="00EB7718">
        <w:tc>
          <w:tcPr>
            <w:tcW w:w="7513" w:type="dxa"/>
            <w:vAlign w:val="center"/>
          </w:tcPr>
          <w:p w:rsidR="00410D75" w:rsidRPr="0049780B" w:rsidRDefault="00C157A7" w:rsidP="0049780B">
            <w:pPr>
              <w:pStyle w:val="a3"/>
              <w:spacing w:line="360" w:lineRule="auto"/>
              <w:ind w:firstLine="34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pict>
                <v:shape id="_x0000_i1031" type="#_x0000_t75" style="width:56.25pt;height:38.25pt">
                  <v:imagedata r:id="rId13" o:title=""/>
                </v:shape>
              </w:pict>
            </w:r>
          </w:p>
        </w:tc>
        <w:tc>
          <w:tcPr>
            <w:tcW w:w="1276" w:type="dxa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(8)</w:t>
            </w:r>
          </w:p>
        </w:tc>
      </w:tr>
      <w:tr w:rsidR="00410D75" w:rsidRPr="0049780B" w:rsidTr="00EB7718">
        <w:tc>
          <w:tcPr>
            <w:tcW w:w="7513" w:type="dxa"/>
            <w:vAlign w:val="center"/>
          </w:tcPr>
          <w:p w:rsidR="00410D75" w:rsidRPr="0049780B" w:rsidRDefault="00C157A7" w:rsidP="0049780B">
            <w:pPr>
              <w:pStyle w:val="a3"/>
              <w:spacing w:line="360" w:lineRule="auto"/>
              <w:ind w:firstLine="34"/>
              <w:rPr>
                <w:snapToGrid w:val="0"/>
                <w:sz w:val="20"/>
                <w:szCs w:val="20"/>
                <w:lang w:val="uk-UA"/>
              </w:rPr>
            </w:pPr>
            <w:r>
              <w:rPr>
                <w:snapToGrid w:val="0"/>
                <w:sz w:val="20"/>
                <w:szCs w:val="20"/>
                <w:lang w:val="uk-UA"/>
              </w:rPr>
              <w:pict>
                <v:shape id="_x0000_i1032" type="#_x0000_t75" style="width:93pt;height:33pt" fillcolor="window">
                  <v:imagedata r:id="rId14" o:title=""/>
                </v:shape>
              </w:pict>
            </w:r>
          </w:p>
        </w:tc>
        <w:tc>
          <w:tcPr>
            <w:tcW w:w="1276" w:type="dxa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(9)</w:t>
            </w:r>
          </w:p>
        </w:tc>
      </w:tr>
      <w:tr w:rsidR="00410D75" w:rsidRPr="0049780B" w:rsidTr="00EB7718">
        <w:trPr>
          <w:cantSplit/>
        </w:trPr>
        <w:tc>
          <w:tcPr>
            <w:tcW w:w="8789" w:type="dxa"/>
            <w:gridSpan w:val="2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граничний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стан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II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групи</w:t>
            </w:r>
          </w:p>
        </w:tc>
      </w:tr>
      <w:tr w:rsidR="00410D75" w:rsidRPr="0049780B" w:rsidTr="00EB7718">
        <w:tc>
          <w:tcPr>
            <w:tcW w:w="7513" w:type="dxa"/>
            <w:vAlign w:val="center"/>
          </w:tcPr>
          <w:p w:rsidR="00410D75" w:rsidRPr="0049780B" w:rsidRDefault="00C157A7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pict>
                <v:shape id="_x0000_i1033" type="#_x0000_t75" style="width:113.25pt;height:36.75pt" fillcolor="window">
                  <v:imagedata r:id="rId15" o:title=""/>
                </v:shape>
              </w:pict>
            </w:r>
          </w:p>
        </w:tc>
        <w:tc>
          <w:tcPr>
            <w:tcW w:w="1276" w:type="dxa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(10)</w:t>
            </w:r>
          </w:p>
        </w:tc>
      </w:tr>
      <w:tr w:rsidR="00410D75" w:rsidRPr="0049780B" w:rsidTr="00EB7718">
        <w:tc>
          <w:tcPr>
            <w:tcW w:w="7513" w:type="dxa"/>
            <w:vAlign w:val="center"/>
          </w:tcPr>
          <w:p w:rsidR="00410D75" w:rsidRPr="0049780B" w:rsidRDefault="00C157A7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0"/>
                <w:szCs w:val="20"/>
                <w:lang w:val="uk-UA"/>
              </w:rPr>
              <w:pict>
                <v:shape id="_x0000_i1034" type="#_x0000_t75" style="width:81pt;height:21pt">
                  <v:imagedata r:id="rId16" o:title=""/>
                </v:shape>
              </w:pict>
            </w:r>
          </w:p>
        </w:tc>
        <w:tc>
          <w:tcPr>
            <w:tcW w:w="1276" w:type="dxa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(11)</w:t>
            </w:r>
          </w:p>
        </w:tc>
      </w:tr>
      <w:tr w:rsidR="00410D75" w:rsidRPr="0049780B" w:rsidTr="00EB7718">
        <w:tc>
          <w:tcPr>
            <w:tcW w:w="7513" w:type="dxa"/>
            <w:vAlign w:val="center"/>
          </w:tcPr>
          <w:p w:rsidR="00410D75" w:rsidRPr="0049780B" w:rsidRDefault="00C157A7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spacing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pict>
                <v:shape id="_x0000_i1035" type="#_x0000_t75" style="width:107.25pt;height:43.5pt" fillcolor="window">
                  <v:imagedata r:id="rId17" o:title=""/>
                </v:shape>
              </w:pict>
            </w:r>
          </w:p>
        </w:tc>
        <w:tc>
          <w:tcPr>
            <w:tcW w:w="1276" w:type="dxa"/>
            <w:vAlign w:val="center"/>
          </w:tcPr>
          <w:p w:rsidR="00410D75" w:rsidRPr="0049780B" w:rsidRDefault="00410D75" w:rsidP="0049780B">
            <w:pPr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napToGrid w:val="0"/>
                <w:spacing w:val="0"/>
                <w:sz w:val="20"/>
                <w:szCs w:val="20"/>
                <w:lang w:val="uk-UA"/>
              </w:rPr>
              <w:t>(12)</w:t>
            </w:r>
          </w:p>
        </w:tc>
      </w:tr>
    </w:tbl>
    <w:p w:rsidR="0049780B" w:rsidRDefault="0049780B" w:rsidP="0049780B">
      <w:pPr>
        <w:pStyle w:val="a3"/>
        <w:spacing w:line="360" w:lineRule="auto"/>
        <w:ind w:firstLine="709"/>
        <w:rPr>
          <w:rStyle w:val="a7"/>
          <w:sz w:val="28"/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napToGrid w:val="0"/>
          <w:szCs w:val="24"/>
          <w:lang w:val="uk-UA"/>
        </w:rPr>
      </w:pPr>
      <w:r w:rsidRPr="0049780B">
        <w:rPr>
          <w:rStyle w:val="a7"/>
          <w:sz w:val="28"/>
          <w:szCs w:val="24"/>
          <w:lang w:val="uk-UA"/>
        </w:rPr>
        <w:t>де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iCs/>
          <w:lang w:val="uk-UA"/>
        </w:rPr>
        <w:sym w:font="Symbol" w:char="F067"/>
      </w:r>
      <w:r w:rsidRPr="0049780B">
        <w:rPr>
          <w:iCs/>
          <w:szCs w:val="24"/>
          <w:vertAlign w:val="subscript"/>
          <w:lang w:val="uk-UA"/>
        </w:rPr>
        <w:t>sr</w:t>
      </w:r>
      <w:r w:rsidR="0049780B">
        <w:rPr>
          <w:szCs w:val="24"/>
          <w:vertAlign w:val="subscript"/>
          <w:lang w:val="uk-UA"/>
        </w:rPr>
        <w:t xml:space="preserve"> </w:t>
      </w:r>
      <w:r w:rsidRPr="0049780B">
        <w:rPr>
          <w:rStyle w:val="a7"/>
          <w:sz w:val="28"/>
          <w:szCs w:val="28"/>
          <w:lang w:val="uk-UA"/>
        </w:rPr>
        <w:sym w:font="Symbol" w:char="F0B3"/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lang w:val="uk-UA"/>
        </w:rPr>
        <w:sym w:font="Symbol" w:char="F068"/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-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коефіцієнт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технологічної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безпеки;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iCs/>
          <w:sz w:val="28"/>
          <w:szCs w:val="28"/>
          <w:lang w:val="uk-UA"/>
        </w:rPr>
        <w:sym w:font="Symbol" w:char="F067"/>
      </w:r>
      <w:r w:rsidRPr="0049780B">
        <w:rPr>
          <w:rStyle w:val="a7"/>
          <w:iCs/>
          <w:sz w:val="28"/>
          <w:szCs w:val="24"/>
          <w:vertAlign w:val="subscript"/>
          <w:lang w:val="uk-UA"/>
        </w:rPr>
        <w:t>zf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–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коефіцієнт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rStyle w:val="a7"/>
          <w:sz w:val="28"/>
          <w:szCs w:val="24"/>
          <w:lang w:val="uk-UA"/>
        </w:rPr>
        <w:t>надійності</w:t>
      </w:r>
      <w:r w:rsidR="0049780B">
        <w:rPr>
          <w:rStyle w:val="a7"/>
          <w:sz w:val="28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протикорозійного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захисту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момент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контролю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стану;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lang w:val="uk-UA"/>
        </w:rPr>
        <w:sym w:font="Symbol" w:char="F067"/>
      </w:r>
      <w:r w:rsidRPr="0049780B">
        <w:rPr>
          <w:iCs/>
          <w:snapToGrid w:val="0"/>
          <w:szCs w:val="24"/>
          <w:vertAlign w:val="subscript"/>
          <w:lang w:val="uk-UA"/>
        </w:rPr>
        <w:t>zr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коефіцієнт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надійності,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що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характеризує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граничний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рівень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втрат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елемента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конструкції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експлуатації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працездатному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стані;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lang w:val="uk-UA"/>
        </w:rPr>
        <w:sym w:font="Symbol" w:char="F067"/>
      </w:r>
      <w:r w:rsidRPr="0049780B">
        <w:rPr>
          <w:iCs/>
          <w:snapToGrid w:val="0"/>
          <w:szCs w:val="24"/>
          <w:vertAlign w:val="subscript"/>
          <w:lang w:val="uk-UA"/>
        </w:rPr>
        <w:t>zrv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коефіцієнт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надійності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поновленні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протикорозійних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покриттів;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</w:t>
      </w:r>
      <w:r w:rsidRPr="0049780B">
        <w:rPr>
          <w:iCs/>
          <w:snapToGrid w:val="0"/>
          <w:szCs w:val="24"/>
          <w:vertAlign w:val="subscript"/>
          <w:lang w:val="uk-UA"/>
        </w:rPr>
        <w:t>r</w:t>
      </w:r>
      <w:r w:rsidRPr="0049780B">
        <w:rPr>
          <w:snapToGrid w:val="0"/>
          <w:vertAlign w:val="subscript"/>
          <w:lang w:val="uk-UA"/>
        </w:rPr>
        <w:sym w:font="Symbol" w:char="F067"/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залишковий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термін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експлуатації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без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додаткових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заходів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протикорозійний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підсилення;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</w:t>
      </w:r>
      <w:r w:rsidRPr="0049780B">
        <w:rPr>
          <w:iCs/>
          <w:snapToGrid w:val="0"/>
          <w:szCs w:val="24"/>
          <w:vertAlign w:val="subscript"/>
          <w:lang w:val="uk-UA"/>
        </w:rPr>
        <w:t>z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нормативний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термін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служби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покриттів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даними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сертифікаційних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випробувань;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</w:t>
      </w:r>
      <w:r w:rsidRPr="0049780B">
        <w:rPr>
          <w:iCs/>
          <w:snapToGrid w:val="0"/>
          <w:szCs w:val="24"/>
          <w:vertAlign w:val="subscript"/>
          <w:lang w:val="uk-UA"/>
        </w:rPr>
        <w:t>z</w:t>
      </w:r>
      <w:r w:rsidRPr="0049780B">
        <w:rPr>
          <w:snapToGrid w:val="0"/>
          <w:vertAlign w:val="subscript"/>
          <w:lang w:val="uk-UA"/>
        </w:rPr>
        <w:sym w:font="Symbol" w:char="F067"/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розрахунковий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термін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служби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покриттів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довірчою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ймовірністю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lang w:val="uk-UA"/>
        </w:rPr>
        <w:sym w:font="Symbol" w:char="F067"/>
      </w:r>
      <w:r w:rsidRPr="0049780B">
        <w:rPr>
          <w:snapToGrid w:val="0"/>
          <w:szCs w:val="24"/>
          <w:lang w:val="uk-UA"/>
        </w:rPr>
        <w:t>=0,95;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</w:t>
      </w:r>
      <w:r w:rsidRPr="0049780B">
        <w:rPr>
          <w:iCs/>
          <w:snapToGrid w:val="0"/>
          <w:szCs w:val="24"/>
          <w:vertAlign w:val="subscript"/>
          <w:lang w:val="uk-UA"/>
        </w:rPr>
        <w:t>zv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розрахунковий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термін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продовження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ресурсу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корозійною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стійкістю.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napToGrid w:val="0"/>
          <w:szCs w:val="24"/>
          <w:lang w:val="uk-UA"/>
        </w:rPr>
        <w:t>З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метою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порівняльної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оцінки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показників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ремонтопридатності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для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обґрунтування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параметрів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специфікації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ресурсу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(</w:t>
      </w:r>
      <w:r w:rsidRPr="0049780B">
        <w:rPr>
          <w:snapToGrid w:val="0"/>
          <w:lang w:val="uk-UA"/>
        </w:rPr>
        <w:sym w:font="Symbol" w:char="F067"/>
      </w:r>
      <w:r w:rsidRPr="0049780B">
        <w:rPr>
          <w:iCs/>
          <w:snapToGrid w:val="0"/>
          <w:szCs w:val="24"/>
          <w:vertAlign w:val="subscript"/>
          <w:lang w:val="uk-UA"/>
        </w:rPr>
        <w:t>zrv</w:t>
      </w:r>
      <w:r w:rsidRPr="0049780B">
        <w:rPr>
          <w:snapToGrid w:val="0"/>
          <w:szCs w:val="24"/>
          <w:lang w:val="uk-UA"/>
        </w:rPr>
        <w:t>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</w:t>
      </w:r>
      <w:r w:rsidRPr="0049780B">
        <w:rPr>
          <w:iCs/>
          <w:snapToGrid w:val="0"/>
          <w:szCs w:val="24"/>
          <w:vertAlign w:val="subscript"/>
          <w:lang w:val="uk-UA"/>
        </w:rPr>
        <w:t>z</w:t>
      </w:r>
      <w:r w:rsidRPr="0049780B">
        <w:rPr>
          <w:snapToGrid w:val="0"/>
          <w:vertAlign w:val="subscript"/>
          <w:lang w:val="uk-UA"/>
        </w:rPr>
        <w:sym w:font="Symbol" w:char="F067"/>
      </w:r>
      <w:r w:rsidRPr="0049780B">
        <w:rPr>
          <w:snapToGrid w:val="0"/>
          <w:szCs w:val="24"/>
          <w:lang w:val="uk-UA"/>
        </w:rPr>
        <w:t>)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поновленні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протикорозійного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захисту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конструкцій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проведені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прискорені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випробування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соляному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тумані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(ISO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12944-6)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зразків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конструктивних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елементів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із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захисними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покриттями.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Коефіцієнт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надійності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(</w:t>
      </w:r>
      <w:r w:rsidRPr="0049780B">
        <w:rPr>
          <w:snapToGrid w:val="0"/>
          <w:lang w:val="uk-UA"/>
        </w:rPr>
        <w:sym w:font="Symbol" w:char="F067"/>
      </w:r>
      <w:r w:rsidRPr="0049780B">
        <w:rPr>
          <w:iCs/>
          <w:snapToGrid w:val="0"/>
          <w:szCs w:val="24"/>
          <w:vertAlign w:val="subscript"/>
          <w:lang w:val="uk-UA"/>
        </w:rPr>
        <w:t>zrv</w:t>
      </w:r>
      <w:r w:rsidRPr="0049780B">
        <w:rPr>
          <w:snapToGrid w:val="0"/>
          <w:szCs w:val="24"/>
          <w:lang w:val="uk-UA"/>
        </w:rPr>
        <w:t>)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установлює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граничний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рівень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втрат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для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заданої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розрахункової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схеми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узагальнених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впливів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«Навантаження-Конструкція-Середовище»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(«Н–К–С»)</w:t>
      </w:r>
      <w:r w:rsidR="0049780B">
        <w:rPr>
          <w:bCs/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експлуатації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урахуванням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припустимого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терміну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(Т</w:t>
      </w:r>
      <w:r w:rsidRPr="0049780B">
        <w:rPr>
          <w:iCs/>
          <w:snapToGrid w:val="0"/>
          <w:szCs w:val="24"/>
          <w:vertAlign w:val="subscript"/>
          <w:lang w:val="uk-UA"/>
        </w:rPr>
        <w:t>zv</w:t>
      </w:r>
      <w:r w:rsidRPr="0049780B">
        <w:rPr>
          <w:snapToGrid w:val="0"/>
          <w:szCs w:val="24"/>
          <w:lang w:val="uk-UA"/>
        </w:rPr>
        <w:t>)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відновлення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працездатності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захисних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покриттів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конструкцій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граничним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станом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групи.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8"/>
        <w:spacing w:line="360" w:lineRule="auto"/>
        <w:ind w:firstLine="709"/>
        <w:jc w:val="both"/>
        <w:rPr>
          <w:szCs w:val="24"/>
          <w:lang w:val="uk-UA"/>
        </w:rPr>
      </w:pPr>
      <w:r w:rsidRPr="0049780B">
        <w:rPr>
          <w:snapToGrid w:val="0"/>
          <w:szCs w:val="24"/>
          <w:lang w:val="uk-UA"/>
        </w:rPr>
        <w:t>Як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основна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розрахункова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характеристика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корозійної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системи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«Н–К–С»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розглядається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реакція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опору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поверхневому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руйнуванню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однорідного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конструктивного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елемента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A</w:t>
      </w:r>
      <w:r w:rsidRPr="0049780B">
        <w:rPr>
          <w:iCs/>
          <w:snapToGrid w:val="0"/>
          <w:szCs w:val="24"/>
          <w:vertAlign w:val="subscript"/>
          <w:lang w:val="uk-UA"/>
        </w:rPr>
        <w:t>rn</w:t>
      </w:r>
      <w:r w:rsidRPr="0049780B">
        <w:rPr>
          <w:snapToGrid w:val="0"/>
          <w:szCs w:val="24"/>
          <w:lang w:val="uk-UA"/>
        </w:rPr>
        <w:t>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г/м</w:t>
      </w:r>
      <w:r w:rsidRPr="0049780B">
        <w:rPr>
          <w:snapToGrid w:val="0"/>
          <w:szCs w:val="24"/>
          <w:vertAlign w:val="superscript"/>
          <w:lang w:val="uk-UA"/>
        </w:rPr>
        <w:t>2</w:t>
      </w:r>
      <w:r w:rsidRPr="0049780B">
        <w:rPr>
          <w:snapToGrid w:val="0"/>
          <w:szCs w:val="24"/>
          <w:lang w:val="uk-UA"/>
        </w:rPr>
        <w:t>рік.</w:t>
      </w:r>
      <w:r w:rsidR="0049780B">
        <w:rPr>
          <w:snapToGrid w:val="0"/>
          <w:szCs w:val="24"/>
          <w:lang w:val="uk-UA"/>
        </w:rPr>
        <w:t xml:space="preserve"> </w:t>
      </w:r>
    </w:p>
    <w:p w:rsidR="00410D75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Термін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служби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системи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захисного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покриття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(СЗП)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заданого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режиму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об'єкта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встановлений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експериментальними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даними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прискорених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корозійних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випробувань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визначається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  <w:t>формулою:</w:t>
      </w: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pacing w:val="0"/>
          <w:szCs w:val="24"/>
          <w:lang w:val="uk-UA"/>
        </w:rPr>
      </w:pPr>
    </w:p>
    <w:p w:rsidR="0049780B" w:rsidRPr="0049780B" w:rsidRDefault="00C157A7" w:rsidP="0049780B">
      <w:pPr>
        <w:tabs>
          <w:tab w:val="left" w:pos="8519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pict>
          <v:shape id="_x0000_i1036" type="#_x0000_t75" style="width:102.75pt;height:20.25pt">
            <v:imagedata r:id="rId18" o:title=""/>
          </v:shape>
        </w:pict>
      </w:r>
      <w:r w:rsidR="0049780B"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;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="0049780B"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(13)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де</w:t>
      </w:r>
      <w:r w:rsidR="0049780B">
        <w:rPr>
          <w:szCs w:val="24"/>
          <w:lang w:val="uk-UA"/>
        </w:rPr>
        <w:t xml:space="preserve"> </w:t>
      </w:r>
      <w:r w:rsidRPr="0049780B">
        <w:rPr>
          <w:lang w:val="uk-UA"/>
        </w:rPr>
        <w:sym w:font="Symbol" w:char="F044"/>
      </w:r>
      <w:r w:rsidRPr="0049780B">
        <w:rPr>
          <w:iCs/>
          <w:szCs w:val="24"/>
          <w:lang w:val="uk-UA"/>
        </w:rPr>
        <w:t>P(N)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втрати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незахищеної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сталі,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відповідають</w:t>
      </w:r>
      <w:r w:rsidR="0049780B">
        <w:rPr>
          <w:szCs w:val="24"/>
          <w:lang w:val="uk-UA"/>
        </w:rPr>
        <w:t xml:space="preserve"> </w:t>
      </w:r>
      <w:r w:rsidRPr="0049780B">
        <w:rPr>
          <w:iCs/>
          <w:szCs w:val="24"/>
          <w:lang w:val="uk-UA"/>
        </w:rPr>
        <w:t>N</w:t>
      </w:r>
      <w:r w:rsidR="0049780B">
        <w:rPr>
          <w:i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циклам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прискорених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випробувань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відмови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г/м</w:t>
      </w:r>
      <w:r w:rsidRPr="0049780B">
        <w:rPr>
          <w:szCs w:val="24"/>
          <w:vertAlign w:val="superscript"/>
          <w:lang w:val="uk-UA"/>
        </w:rPr>
        <w:t>2</w:t>
      </w:r>
      <w:r w:rsidRPr="0049780B">
        <w:rPr>
          <w:szCs w:val="24"/>
          <w:lang w:val="uk-UA"/>
        </w:rPr>
        <w:t>.</w:t>
      </w:r>
    </w:p>
    <w:p w:rsidR="00410D75" w:rsidRPr="0049780B" w:rsidRDefault="00410D75" w:rsidP="0049780B">
      <w:pPr>
        <w:pStyle w:val="a8"/>
        <w:spacing w:line="360" w:lineRule="auto"/>
        <w:ind w:firstLine="709"/>
        <w:jc w:val="both"/>
        <w:rPr>
          <w:szCs w:val="24"/>
          <w:lang w:val="uk-UA"/>
        </w:rPr>
      </w:pP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розрахунково-експериментальної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представлені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табл.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3.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теоретичних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експериментальних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зроблена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нормативу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СЗП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прискорених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випробувань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гарантованої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  <w:r w:rsidR="0049780B">
        <w:rPr>
          <w:szCs w:val="24"/>
          <w:lang w:val="uk-UA"/>
        </w:rPr>
        <w:t xml:space="preserve"> </w:t>
      </w:r>
    </w:p>
    <w:p w:rsidR="005F15DF" w:rsidRDefault="005F15DF" w:rsidP="0049780B">
      <w:pPr>
        <w:pStyle w:val="a8"/>
        <w:spacing w:line="360" w:lineRule="auto"/>
        <w:ind w:firstLine="709"/>
        <w:jc w:val="both"/>
        <w:rPr>
          <w:bCs/>
          <w:iCs/>
          <w:szCs w:val="24"/>
          <w:lang w:val="uk-UA"/>
        </w:rPr>
      </w:pPr>
    </w:p>
    <w:p w:rsidR="00410D75" w:rsidRPr="0049780B" w:rsidRDefault="00410D75" w:rsidP="0049780B">
      <w:pPr>
        <w:pStyle w:val="a8"/>
        <w:spacing w:line="360" w:lineRule="auto"/>
        <w:ind w:firstLine="709"/>
        <w:jc w:val="both"/>
        <w:rPr>
          <w:bCs/>
          <w:iCs/>
          <w:szCs w:val="24"/>
          <w:lang w:val="uk-UA"/>
        </w:rPr>
      </w:pPr>
      <w:r w:rsidRPr="0049780B">
        <w:rPr>
          <w:bCs/>
          <w:iCs/>
          <w:szCs w:val="24"/>
          <w:lang w:val="uk-UA"/>
        </w:rPr>
        <w:t>Таблиця</w:t>
      </w:r>
      <w:r w:rsidR="0049780B">
        <w:rPr>
          <w:bCs/>
          <w:iCs/>
          <w:szCs w:val="24"/>
          <w:lang w:val="uk-UA"/>
        </w:rPr>
        <w:t xml:space="preserve"> </w:t>
      </w:r>
      <w:r w:rsidRPr="0049780B">
        <w:rPr>
          <w:bCs/>
          <w:iCs/>
          <w:szCs w:val="24"/>
          <w:lang w:val="uk-UA"/>
        </w:rPr>
        <w:t>3</w:t>
      </w:r>
    </w:p>
    <w:p w:rsidR="00410D75" w:rsidRPr="0049780B" w:rsidRDefault="00410D75" w:rsidP="0049780B">
      <w:pPr>
        <w:pStyle w:val="a8"/>
        <w:spacing w:line="360" w:lineRule="auto"/>
        <w:ind w:firstLine="709"/>
        <w:jc w:val="both"/>
        <w:rPr>
          <w:bCs/>
          <w:szCs w:val="24"/>
          <w:lang w:val="uk-UA"/>
        </w:rPr>
      </w:pPr>
      <w:r w:rsidRPr="0049780B">
        <w:rPr>
          <w:bCs/>
          <w:szCs w:val="24"/>
          <w:lang w:val="uk-UA"/>
        </w:rPr>
        <w:t>Специфікація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систем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покриттів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при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поновленні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протикорозійного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захисту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конструкцій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1620"/>
        <w:gridCol w:w="720"/>
        <w:gridCol w:w="720"/>
        <w:gridCol w:w="1080"/>
        <w:gridCol w:w="1382"/>
        <w:gridCol w:w="1424"/>
      </w:tblGrid>
      <w:tr w:rsidR="00410D75" w:rsidRPr="0049780B" w:rsidTr="0049780B">
        <w:trPr>
          <w:cantSplit/>
        </w:trPr>
        <w:tc>
          <w:tcPr>
            <w:tcW w:w="648" w:type="dxa"/>
            <w:vMerge w:val="restart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№№</w:t>
            </w:r>
          </w:p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п/п</w:t>
            </w:r>
          </w:p>
        </w:tc>
        <w:tc>
          <w:tcPr>
            <w:tcW w:w="1728" w:type="dxa"/>
            <w:vMerge w:val="restart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Найменування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матеріалу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покриття</w:t>
            </w:r>
          </w:p>
        </w:tc>
        <w:tc>
          <w:tcPr>
            <w:tcW w:w="1620" w:type="dxa"/>
            <w:vMerge w:val="restart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Позначення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системи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СНиП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2.03.11-85*</w:t>
            </w:r>
          </w:p>
        </w:tc>
        <w:tc>
          <w:tcPr>
            <w:tcW w:w="5326" w:type="dxa"/>
            <w:gridSpan w:val="5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Характеристика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стійкості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при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прискорених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випробуваннях</w:t>
            </w:r>
          </w:p>
        </w:tc>
      </w:tr>
      <w:tr w:rsidR="00410D75" w:rsidRPr="0049780B" w:rsidTr="0049780B">
        <w:trPr>
          <w:cantSplit/>
        </w:trPr>
        <w:tc>
          <w:tcPr>
            <w:tcW w:w="648" w:type="dxa"/>
            <w:vMerge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vMerge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gridSpan w:val="3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розробленою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методикою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при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sym w:font="Symbol" w:char="F074"/>
            </w:r>
            <w:r w:rsidRPr="0049780B">
              <w:rPr>
                <w:sz w:val="20"/>
                <w:szCs w:val="20"/>
                <w:vertAlign w:val="subscript"/>
                <w:lang w:val="uk-UA"/>
              </w:rPr>
              <w:t>max</w:t>
            </w:r>
            <w:r w:rsidRPr="0049780B">
              <w:rPr>
                <w:sz w:val="20"/>
                <w:szCs w:val="20"/>
                <w:lang w:val="uk-UA"/>
              </w:rPr>
              <w:t>=720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2806" w:type="dxa"/>
            <w:gridSpan w:val="2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ISO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12944</w:t>
            </w:r>
          </w:p>
        </w:tc>
      </w:tr>
      <w:tr w:rsidR="00410D75" w:rsidRPr="0049780B" w:rsidTr="0049780B">
        <w:trPr>
          <w:cantSplit/>
        </w:trPr>
        <w:tc>
          <w:tcPr>
            <w:tcW w:w="648" w:type="dxa"/>
            <w:vMerge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vMerge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sym w:font="Symbol" w:char="F067"/>
            </w:r>
            <w:r w:rsidRPr="0049780B">
              <w:rPr>
                <w:iCs/>
                <w:sz w:val="20"/>
                <w:szCs w:val="20"/>
                <w:vertAlign w:val="subscript"/>
                <w:lang w:val="uk-UA"/>
              </w:rPr>
              <w:t>zrv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iCs/>
                <w:sz w:val="20"/>
                <w:szCs w:val="20"/>
                <w:lang w:val="uk-UA"/>
              </w:rPr>
              <w:t>K</w:t>
            </w:r>
            <w:r w:rsidRPr="0049780B">
              <w:rPr>
                <w:iCs/>
                <w:sz w:val="20"/>
                <w:szCs w:val="20"/>
                <w:vertAlign w:val="subscript"/>
                <w:lang w:val="uk-UA"/>
              </w:rPr>
              <w:t>g</w:t>
            </w:r>
            <w:r w:rsidR="0049780B" w:rsidRPr="0049780B">
              <w:rPr>
                <w:sz w:val="20"/>
                <w:szCs w:val="20"/>
                <w:vertAlign w:val="subscript"/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:rsidR="00410D75" w:rsidRPr="0049780B" w:rsidRDefault="00410D75" w:rsidP="0049780B">
            <w:pPr>
              <w:pStyle w:val="21"/>
              <w:jc w:val="both"/>
              <w:rPr>
                <w:rStyle w:val="a7"/>
                <w:sz w:val="20"/>
                <w:szCs w:val="20"/>
                <w:lang w:val="uk-UA"/>
              </w:rPr>
            </w:pPr>
            <w:r w:rsidRPr="0049780B">
              <w:rPr>
                <w:rStyle w:val="a7"/>
                <w:iCs/>
                <w:sz w:val="20"/>
                <w:szCs w:val="20"/>
                <w:lang w:val="uk-UA"/>
              </w:rPr>
              <w:t>Т</w:t>
            </w:r>
            <w:r w:rsidRPr="0049780B">
              <w:rPr>
                <w:rStyle w:val="a7"/>
                <w:iCs/>
                <w:sz w:val="20"/>
                <w:szCs w:val="20"/>
                <w:vertAlign w:val="subscript"/>
                <w:lang w:val="uk-UA"/>
              </w:rPr>
              <w:t>z</w:t>
            </w:r>
            <w:r w:rsidRPr="0049780B">
              <w:rPr>
                <w:rStyle w:val="a7"/>
                <w:iCs/>
                <w:sz w:val="20"/>
                <w:szCs w:val="20"/>
                <w:vertAlign w:val="subscript"/>
                <w:lang w:val="uk-UA"/>
              </w:rPr>
              <w:sym w:font="Symbol" w:char="F067"/>
            </w:r>
            <w:r w:rsidR="0049780B" w:rsidRPr="0049780B">
              <w:rPr>
                <w:rStyle w:val="a7"/>
                <w:iCs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Style w:val="a7"/>
                <w:sz w:val="20"/>
                <w:szCs w:val="20"/>
                <w:lang w:val="uk-UA"/>
              </w:rPr>
              <w:t>,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rStyle w:val="a7"/>
                <w:sz w:val="20"/>
                <w:szCs w:val="20"/>
                <w:lang w:val="uk-UA"/>
              </w:rPr>
              <w:t>год</w:t>
            </w:r>
          </w:p>
        </w:tc>
        <w:tc>
          <w:tcPr>
            <w:tcW w:w="1382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Тривалість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випробуван-ня,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sym w:font="Symbol" w:char="F074"/>
            </w:r>
            <w:r w:rsidRPr="0049780B">
              <w:rPr>
                <w:sz w:val="20"/>
                <w:szCs w:val="20"/>
                <w:vertAlign w:val="subscript"/>
                <w:lang w:val="uk-UA"/>
              </w:rPr>
              <w:t>max</w:t>
            </w:r>
            <w:r w:rsidRPr="0049780B">
              <w:rPr>
                <w:sz w:val="20"/>
                <w:szCs w:val="20"/>
                <w:lang w:val="uk-UA"/>
              </w:rPr>
              <w:t>,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1424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Інтервальна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оцінка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довго-вічності,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годин</w:t>
            </w:r>
          </w:p>
        </w:tc>
      </w:tr>
      <w:tr w:rsidR="00410D75" w:rsidRPr="0049780B" w:rsidTr="0049780B">
        <w:tc>
          <w:tcPr>
            <w:tcW w:w="648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728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Пентафталеві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ПФ-115</w:t>
            </w:r>
          </w:p>
        </w:tc>
        <w:tc>
          <w:tcPr>
            <w:tcW w:w="16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Ia-2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(55)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PSt2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0,9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0,65</w:t>
            </w:r>
          </w:p>
        </w:tc>
        <w:tc>
          <w:tcPr>
            <w:tcW w:w="108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4,0</w:t>
            </w:r>
          </w:p>
        </w:tc>
        <w:tc>
          <w:tcPr>
            <w:tcW w:w="1382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480</w:t>
            </w:r>
          </w:p>
        </w:tc>
        <w:tc>
          <w:tcPr>
            <w:tcW w:w="1424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низька,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від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2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до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5</w:t>
            </w:r>
          </w:p>
        </w:tc>
      </w:tr>
      <w:tr w:rsidR="00410D75" w:rsidRPr="0049780B" w:rsidTr="0049780B">
        <w:tc>
          <w:tcPr>
            <w:tcW w:w="648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728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Пентафталеві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ПФ-132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МР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«ФЕРРОКОР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perscript"/>
                <w:lang w:val="uk-UA"/>
              </w:rPr>
              <w:t>®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»</w:t>
            </w:r>
          </w:p>
        </w:tc>
        <w:tc>
          <w:tcPr>
            <w:tcW w:w="16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Ia-2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(80)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PSt2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0,95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0,6</w:t>
            </w:r>
          </w:p>
        </w:tc>
        <w:tc>
          <w:tcPr>
            <w:tcW w:w="108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6,5</w:t>
            </w:r>
          </w:p>
        </w:tc>
        <w:tc>
          <w:tcPr>
            <w:tcW w:w="1382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720</w:t>
            </w:r>
          </w:p>
        </w:tc>
        <w:tc>
          <w:tcPr>
            <w:tcW w:w="1424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середня,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від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5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до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15</w:t>
            </w:r>
          </w:p>
        </w:tc>
      </w:tr>
      <w:tr w:rsidR="00410D75" w:rsidRPr="0049780B" w:rsidTr="0049780B">
        <w:tc>
          <w:tcPr>
            <w:tcW w:w="648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728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Перхлорвінілові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ХВ-124</w:t>
            </w:r>
          </w:p>
        </w:tc>
        <w:tc>
          <w:tcPr>
            <w:tcW w:w="16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IIa-3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(80)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PSt2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1,00</w:t>
            </w:r>
          </w:p>
        </w:tc>
        <w:tc>
          <w:tcPr>
            <w:tcW w:w="720" w:type="dxa"/>
          </w:tcPr>
          <w:p w:rsidR="00410D75" w:rsidRPr="0049780B" w:rsidRDefault="00410D75" w:rsidP="0049780B">
            <w:pPr>
              <w:pStyle w:val="a8"/>
              <w:spacing w:line="360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0,4</w:t>
            </w:r>
          </w:p>
        </w:tc>
        <w:tc>
          <w:tcPr>
            <w:tcW w:w="1080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10,5</w:t>
            </w:r>
          </w:p>
        </w:tc>
        <w:tc>
          <w:tcPr>
            <w:tcW w:w="1382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720</w:t>
            </w:r>
          </w:p>
        </w:tc>
        <w:tc>
          <w:tcPr>
            <w:tcW w:w="1424" w:type="dxa"/>
          </w:tcPr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середня,</w:t>
            </w:r>
          </w:p>
          <w:p w:rsidR="00410D75" w:rsidRPr="0049780B" w:rsidRDefault="00410D75" w:rsidP="0049780B">
            <w:pPr>
              <w:pStyle w:val="21"/>
              <w:jc w:val="both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від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5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до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15</w:t>
            </w:r>
          </w:p>
        </w:tc>
      </w:tr>
    </w:tbl>
    <w:p w:rsidR="0049780B" w:rsidRPr="0049780B" w:rsidRDefault="0049780B" w:rsidP="0049780B">
      <w:pPr>
        <w:pStyle w:val="a3"/>
        <w:spacing w:line="360" w:lineRule="auto"/>
        <w:ind w:firstLine="0"/>
        <w:rPr>
          <w:bCs/>
          <w:sz w:val="20"/>
          <w:szCs w:val="20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Четвертий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розділ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містить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матеріали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управління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пропускної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регулювання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68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Невизначеність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ймовірні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об’єктно-суб’єктних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взаємозв’язків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обслуговуванні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вимагають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створення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організаційної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структури,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забезпечує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умови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прийняття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рішень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відновлення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працездатного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урахуванням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зворотного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зв’язку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79"/>
      </w:r>
      <w:r w:rsidRPr="0049780B">
        <w:rPr>
          <w:szCs w:val="24"/>
          <w:lang w:val="uk-UA"/>
        </w:rPr>
        <w:t>).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моніторингу,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використовуються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експертної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«Діагностика–Антикорозійний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захист–Реконструкція»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бази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«Ресурс»,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склад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функції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регламентовані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положеннями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«Інтегрованої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управління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якістю,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екологією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охороною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праці»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стандарту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підприємства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101С-6.3-05-2007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споруд».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обробляються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встановленої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ієрархією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побудови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інформаційних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(рис.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2).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Систематизація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ознак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виконується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загроз,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груп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відповідальності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(табл.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4,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5).</w:t>
      </w:r>
      <w:r w:rsidR="0049780B">
        <w:rPr>
          <w:szCs w:val="24"/>
          <w:lang w:val="uk-UA"/>
        </w:rPr>
        <w:t xml:space="preserve"> </w:t>
      </w:r>
    </w:p>
    <w:p w:rsidR="00410D75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Кількісний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змінюється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8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балів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ступеня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пошкоджень.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  <w:r w:rsidRPr="0049780B">
        <w:rPr>
          <w:szCs w:val="24"/>
          <w:lang w:val="uk-UA"/>
        </w:rPr>
        <w:t>Група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показниками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визначає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можливість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їхнього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відновлення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залежності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функціонування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об’єкту.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Категорія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або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пошкодження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визначається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табл.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13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ДБН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362-92</w:t>
      </w:r>
      <w:r w:rsidRPr="0049780B">
        <w:rPr>
          <w:bCs/>
          <w:szCs w:val="24"/>
          <w:lang w:val="uk-UA"/>
        </w:rPr>
        <w:t>.</w:t>
      </w:r>
      <w:r>
        <w:rPr>
          <w:bCs/>
          <w:szCs w:val="24"/>
          <w:lang w:val="uk-UA"/>
        </w:rPr>
        <w:t xml:space="preserve"> </w:t>
      </w:r>
    </w:p>
    <w:p w:rsidR="0049780B" w:rsidRP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Рівень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моніторингу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класифікується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наступним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чином:</w:t>
      </w:r>
    </w:p>
    <w:p w:rsidR="0049780B" w:rsidRPr="0049780B" w:rsidRDefault="0049780B" w:rsidP="0049780B">
      <w:pPr>
        <w:pStyle w:val="a3"/>
        <w:numPr>
          <w:ilvl w:val="0"/>
          <w:numId w:val="6"/>
        </w:numPr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низький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(Н)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балів;</w:t>
      </w:r>
    </w:p>
    <w:p w:rsidR="0049780B" w:rsidRPr="0049780B" w:rsidRDefault="0049780B" w:rsidP="0049780B">
      <w:pPr>
        <w:pStyle w:val="a3"/>
        <w:numPr>
          <w:ilvl w:val="0"/>
          <w:numId w:val="6"/>
        </w:numPr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середній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(С)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3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5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балів;</w:t>
      </w:r>
    </w:p>
    <w:p w:rsidR="0049780B" w:rsidRPr="0049780B" w:rsidRDefault="0049780B" w:rsidP="0049780B">
      <w:pPr>
        <w:pStyle w:val="a3"/>
        <w:numPr>
          <w:ilvl w:val="0"/>
          <w:numId w:val="6"/>
        </w:numPr>
        <w:spacing w:line="360" w:lineRule="auto"/>
        <w:ind w:left="0"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високий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(В)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6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8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балів.</w:t>
      </w: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Група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визначає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вид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проведення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робіт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підвищення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працездатності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конструкцій.</w:t>
      </w:r>
    </w:p>
    <w:p w:rsidR="0049780B" w:rsidRPr="0049780B" w:rsidRDefault="0049780B" w:rsidP="0049780B">
      <w:pPr>
        <w:pStyle w:val="a3"/>
        <w:tabs>
          <w:tab w:val="left" w:pos="5138"/>
        </w:tabs>
        <w:spacing w:line="360" w:lineRule="auto"/>
        <w:ind w:firstLine="709"/>
        <w:jc w:val="left"/>
        <w:rPr>
          <w:szCs w:val="24"/>
          <w:lang w:val="uk-UA"/>
        </w:rPr>
      </w:pPr>
      <w:r w:rsidRPr="0049780B">
        <w:rPr>
          <w:szCs w:val="24"/>
          <w:lang w:val="uk-UA"/>
        </w:rPr>
        <w:t>Основні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етапи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робіт,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пов’язані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продовженням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експлуатації,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розглянуті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рудного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перевантажувача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вантажопідйомністю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30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прольотом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76,2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м.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Рудно-грейферний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кран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(РГК-2)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експлуатується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1954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р.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тяжкому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роботи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(табл.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6).</w:t>
      </w:r>
      <w:r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Кран-перевантажувач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встановлений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рудному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дворі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доменного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цеху</w:t>
      </w:r>
      <w:r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(рис.</w:t>
      </w:r>
      <w:r>
        <w:rPr>
          <w:szCs w:val="24"/>
          <w:lang w:val="uk-UA"/>
        </w:rPr>
        <w:t xml:space="preserve"> </w:t>
      </w:r>
      <w:r w:rsidRPr="005F15DF">
        <w:rPr>
          <w:szCs w:val="24"/>
          <w:lang w:val="uk-UA"/>
        </w:rPr>
        <w:t>3</w:t>
      </w:r>
      <w:r w:rsidRPr="0049780B">
        <w:rPr>
          <w:szCs w:val="24"/>
          <w:lang w:val="uk-UA"/>
        </w:rPr>
        <w:t>,</w:t>
      </w:r>
      <w:r>
        <w:rPr>
          <w:szCs w:val="24"/>
          <w:lang w:val="uk-UA"/>
        </w:rPr>
        <w:t xml:space="preserve"> </w:t>
      </w:r>
      <w:r w:rsidRPr="005F15DF">
        <w:rPr>
          <w:szCs w:val="24"/>
          <w:lang w:val="uk-UA"/>
        </w:rPr>
        <w:t>4</w:t>
      </w:r>
      <w:r w:rsidRPr="0049780B">
        <w:rPr>
          <w:szCs w:val="24"/>
          <w:lang w:val="uk-UA"/>
        </w:rPr>
        <w:t>).</w:t>
      </w: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конструктивному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відношенні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клепана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гратчаста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РГК-2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має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проліт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76,2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консолі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боку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шарнірної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опори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21,85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боку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жорсткої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опори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34,5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Чисельні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дослідження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напружено-деформованого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несучих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враховували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специфіку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роботи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мостових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перевантажувачів.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9780B" w:rsidRPr="0049780B" w:rsidRDefault="0049780B" w:rsidP="0049780B">
      <w:pPr>
        <w:spacing w:line="360" w:lineRule="auto"/>
        <w:ind w:firstLine="709"/>
        <w:rPr>
          <w:rFonts w:ascii="Times New Roman" w:hAnsi="Times New Roman"/>
          <w:b w:val="0"/>
          <w:spacing w:val="0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постановці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задачі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розглянуті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параметри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вантажопідйомності,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інтенсивності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(діюча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продуктивність,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фактичні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швидкості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підйому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вантажу,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рух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візка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мосту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крана)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</w:pP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Таблиця</w:t>
      </w:r>
      <w:r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4</w:t>
      </w: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Рівень</w:t>
      </w: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вразливості</w:t>
      </w: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конструкцій</w:t>
      </w:r>
    </w:p>
    <w:p w:rsidR="0049780B" w:rsidRPr="0049780B" w:rsidRDefault="0049780B" w:rsidP="0049780B">
      <w:pPr>
        <w:tabs>
          <w:tab w:val="left" w:pos="2291"/>
        </w:tabs>
        <w:spacing w:line="360" w:lineRule="auto"/>
        <w:ind w:left="68" w:firstLine="709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Категорія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дефекту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або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ушкодження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ab/>
        <w:t>Група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</w:p>
    <w:p w:rsidR="0049780B" w:rsidRPr="0049780B" w:rsidRDefault="0049780B" w:rsidP="0049780B">
      <w:pPr>
        <w:pStyle w:val="ac"/>
        <w:tabs>
          <w:tab w:val="left" w:pos="2291"/>
          <w:tab w:val="left" w:pos="3222"/>
          <w:tab w:val="left" w:pos="4117"/>
        </w:tabs>
        <w:spacing w:before="0" w:beforeAutospacing="0" w:after="0" w:afterAutospacing="0" w:line="360" w:lineRule="auto"/>
        <w:ind w:left="68" w:firstLine="709"/>
        <w:rPr>
          <w:rFonts w:ascii="Times New Roman" w:hAnsi="Times New Roman" w:cs="Times New Roman"/>
          <w:color w:val="auto"/>
          <w:sz w:val="28"/>
          <w:lang w:val="uk-UA"/>
        </w:rPr>
      </w:pP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І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ІІ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ІІІ</w:t>
      </w:r>
    </w:p>
    <w:p w:rsidR="0049780B" w:rsidRPr="0049780B" w:rsidRDefault="0049780B" w:rsidP="0049780B">
      <w:pPr>
        <w:pStyle w:val="ac"/>
        <w:tabs>
          <w:tab w:val="left" w:pos="2291"/>
          <w:tab w:val="left" w:pos="3222"/>
          <w:tab w:val="left" w:pos="4117"/>
        </w:tabs>
        <w:spacing w:before="0" w:beforeAutospacing="0" w:after="0" w:afterAutospacing="0" w:line="360" w:lineRule="auto"/>
        <w:ind w:left="68" w:firstLine="709"/>
        <w:rPr>
          <w:rFonts w:ascii="Times New Roman" w:hAnsi="Times New Roman" w:cs="Times New Roman"/>
          <w:color w:val="auto"/>
          <w:sz w:val="28"/>
          <w:lang w:val="uk-UA"/>
        </w:rPr>
      </w:pPr>
      <w:r w:rsidRPr="0049780B">
        <w:rPr>
          <w:rFonts w:ascii="Times New Roman" w:hAnsi="Times New Roman" w:cs="Times New Roman"/>
          <w:bCs/>
          <w:color w:val="auto"/>
          <w:sz w:val="28"/>
          <w:lang w:val="uk-UA"/>
        </w:rPr>
        <w:t>А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6-8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-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-</w:t>
      </w:r>
    </w:p>
    <w:p w:rsidR="0049780B" w:rsidRPr="0049780B" w:rsidRDefault="0049780B" w:rsidP="0049780B">
      <w:pPr>
        <w:pStyle w:val="ac"/>
        <w:tabs>
          <w:tab w:val="left" w:pos="2291"/>
          <w:tab w:val="left" w:pos="3222"/>
          <w:tab w:val="left" w:pos="4117"/>
        </w:tabs>
        <w:spacing w:before="0" w:beforeAutospacing="0" w:after="0" w:afterAutospacing="0" w:line="360" w:lineRule="auto"/>
        <w:ind w:left="68" w:firstLine="709"/>
        <w:rPr>
          <w:rFonts w:ascii="Times New Roman" w:hAnsi="Times New Roman" w:cs="Times New Roman"/>
          <w:color w:val="auto"/>
          <w:sz w:val="28"/>
          <w:lang w:val="uk-UA"/>
        </w:rPr>
      </w:pPr>
      <w:r w:rsidRPr="0049780B">
        <w:rPr>
          <w:rFonts w:ascii="Times New Roman" w:hAnsi="Times New Roman" w:cs="Times New Roman"/>
          <w:bCs/>
          <w:color w:val="auto"/>
          <w:sz w:val="28"/>
          <w:lang w:val="uk-UA"/>
        </w:rPr>
        <w:t>Б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-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3-5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-</w:t>
      </w:r>
    </w:p>
    <w:p w:rsidR="0049780B" w:rsidRPr="0049780B" w:rsidRDefault="0049780B" w:rsidP="0049780B">
      <w:pPr>
        <w:pStyle w:val="ac"/>
        <w:tabs>
          <w:tab w:val="left" w:pos="2291"/>
          <w:tab w:val="left" w:pos="3222"/>
          <w:tab w:val="left" w:pos="4117"/>
        </w:tabs>
        <w:spacing w:before="0" w:beforeAutospacing="0" w:after="0" w:afterAutospacing="0" w:line="360" w:lineRule="auto"/>
        <w:ind w:left="68" w:firstLine="709"/>
        <w:rPr>
          <w:rFonts w:ascii="Times New Roman" w:hAnsi="Times New Roman" w:cs="Times New Roman"/>
          <w:color w:val="auto"/>
          <w:sz w:val="28"/>
          <w:lang w:val="uk-UA"/>
        </w:rPr>
      </w:pPr>
      <w:r w:rsidRPr="0049780B">
        <w:rPr>
          <w:rFonts w:ascii="Times New Roman" w:hAnsi="Times New Roman" w:cs="Times New Roman"/>
          <w:bCs/>
          <w:color w:val="auto"/>
          <w:sz w:val="28"/>
          <w:lang w:val="uk-UA"/>
        </w:rPr>
        <w:t>В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-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-</w:t>
      </w:r>
      <w:r w:rsidRPr="0049780B">
        <w:rPr>
          <w:rFonts w:ascii="Times New Roman" w:hAnsi="Times New Roman" w:cs="Times New Roman"/>
          <w:color w:val="auto"/>
          <w:sz w:val="28"/>
          <w:lang w:val="uk-UA"/>
        </w:rPr>
        <w:tab/>
        <w:t>1-2</w:t>
      </w:r>
    </w:p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</w:p>
    <w:p w:rsidR="0049780B" w:rsidRP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розрахункова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прийнята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просторова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схема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мосту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П-подібним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перетином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гратчастому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виконанні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(рис.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5).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9780B" w:rsidRPr="0049780B" w:rsidRDefault="0049780B" w:rsidP="0049780B">
      <w:pPr>
        <w:tabs>
          <w:tab w:val="left" w:pos="5138"/>
        </w:tabs>
        <w:spacing w:line="360" w:lineRule="auto"/>
        <w:ind w:firstLine="709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Зусилля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елементах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визначалися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методом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просторових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скінченних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елементів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використанням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обчислювального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комплексу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«SCAD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US"/>
        </w:rPr>
        <w:t>Office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».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Виявлені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елементи,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напруження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перевищують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граничні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урахуванням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чинних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режимів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навантаження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стану.</w:t>
      </w:r>
      <w:r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Pr="0049780B" w:rsidRDefault="005F15DF" w:rsidP="0049780B">
      <w:pPr>
        <w:pStyle w:val="a3"/>
        <w:spacing w:line="360" w:lineRule="auto"/>
        <w:ind w:firstLine="709"/>
        <w:rPr>
          <w:bCs/>
          <w:iCs/>
          <w:szCs w:val="24"/>
          <w:lang w:val="uk-UA"/>
        </w:rPr>
      </w:pPr>
      <w:r>
        <w:rPr>
          <w:bCs/>
          <w:iCs/>
          <w:szCs w:val="24"/>
          <w:lang w:val="uk-UA"/>
        </w:rPr>
        <w:br w:type="page"/>
      </w:r>
      <w:r w:rsidR="00410D75" w:rsidRPr="0049780B">
        <w:rPr>
          <w:bCs/>
          <w:iCs/>
          <w:szCs w:val="24"/>
          <w:lang w:val="uk-UA"/>
        </w:rPr>
        <w:t>Таблиця</w:t>
      </w:r>
      <w:r w:rsidR="0049780B">
        <w:rPr>
          <w:bCs/>
          <w:iCs/>
          <w:szCs w:val="24"/>
          <w:lang w:val="uk-UA"/>
        </w:rPr>
        <w:t xml:space="preserve"> </w:t>
      </w:r>
      <w:r w:rsidR="00410D75" w:rsidRPr="0049780B">
        <w:rPr>
          <w:bCs/>
          <w:iCs/>
          <w:szCs w:val="24"/>
          <w:lang w:val="uk-UA"/>
        </w:rPr>
        <w:t>5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Рівні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ризиків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iCs/>
          <w:spacing w:val="0"/>
          <w:szCs w:val="24"/>
          <w:lang w:val="uk-UA"/>
        </w:rPr>
        <w:t>R</w:t>
      </w:r>
      <w:r w:rsidRPr="0049780B">
        <w:rPr>
          <w:rFonts w:ascii="Times New Roman" w:hAnsi="Times New Roman" w:cs="Times New Roman"/>
          <w:b w:val="0"/>
          <w:iCs/>
          <w:spacing w:val="0"/>
          <w:szCs w:val="24"/>
          <w:vertAlign w:val="subscript"/>
          <w:lang w:val="uk-UA"/>
        </w:rPr>
        <w:t>i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)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залежності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груп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відповідальності,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рівня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загроз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вразливості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spacing w:val="0"/>
          <w:szCs w:val="24"/>
          <w:lang w:val="uk-UA"/>
        </w:rPr>
        <w:t>споруд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0"/>
        <w:gridCol w:w="500"/>
        <w:gridCol w:w="499"/>
        <w:gridCol w:w="400"/>
        <w:gridCol w:w="509"/>
        <w:gridCol w:w="480"/>
        <w:gridCol w:w="482"/>
        <w:gridCol w:w="512"/>
        <w:gridCol w:w="482"/>
        <w:gridCol w:w="483"/>
        <w:gridCol w:w="500"/>
        <w:gridCol w:w="499"/>
        <w:gridCol w:w="498"/>
      </w:tblGrid>
      <w:tr w:rsidR="00410D75" w:rsidRPr="0049780B">
        <w:trPr>
          <w:cantSplit/>
          <w:tblCellSpacing w:w="15" w:type="dxa"/>
        </w:trPr>
        <w:tc>
          <w:tcPr>
            <w:tcW w:w="3975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Групи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відповідальності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технологічної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безпеки</w:t>
            </w:r>
          </w:p>
        </w:tc>
        <w:tc>
          <w:tcPr>
            <w:tcW w:w="62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Рівень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загрози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(категорія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технічного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стану)</w:t>
            </w:r>
          </w:p>
        </w:tc>
      </w:tr>
      <w:tr w:rsidR="00410D75" w:rsidRPr="0049780B">
        <w:trPr>
          <w:cantSplit/>
          <w:tblCellSpacing w:w="15" w:type="dxa"/>
        </w:trPr>
        <w:tc>
          <w:tcPr>
            <w:tcW w:w="3975" w:type="dxa"/>
            <w:vMerge/>
            <w:tcBorders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4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Низький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)</w:t>
            </w:r>
          </w:p>
        </w:tc>
        <w:tc>
          <w:tcPr>
            <w:tcW w:w="15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Низький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)</w:t>
            </w:r>
          </w:p>
        </w:tc>
        <w:tc>
          <w:tcPr>
            <w:tcW w:w="15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Середній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)</w:t>
            </w:r>
          </w:p>
        </w:tc>
        <w:tc>
          <w:tcPr>
            <w:tcW w:w="1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Високий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sym w:font="Symbol" w:char="F049"/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V)</w:t>
            </w:r>
          </w:p>
        </w:tc>
      </w:tr>
      <w:tr w:rsidR="00410D75" w:rsidRPr="0049780B">
        <w:trPr>
          <w:cantSplit/>
          <w:tblCellSpacing w:w="15" w:type="dxa"/>
        </w:trPr>
        <w:tc>
          <w:tcPr>
            <w:tcW w:w="3975" w:type="dxa"/>
            <w:vMerge/>
            <w:tcBorders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62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Оцінка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вразливості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конструкцій</w:t>
            </w:r>
          </w:p>
        </w:tc>
      </w:tr>
      <w:tr w:rsidR="00410D75" w:rsidRPr="0049780B">
        <w:trPr>
          <w:cantSplit/>
          <w:tblCellSpacing w:w="15" w:type="dxa"/>
        </w:trPr>
        <w:tc>
          <w:tcPr>
            <w:tcW w:w="3975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</w:t>
            </w:r>
          </w:p>
        </w:tc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</w:t>
            </w:r>
          </w:p>
        </w:tc>
      </w:tr>
      <w:tr w:rsidR="00410D75" w:rsidRPr="0049780B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Об’єкти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функціями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обслуговування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невиробничого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призначення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lang w:val="uk-UA"/>
              </w:rPr>
              <w:t>R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</w:tr>
      <w:tr w:rsidR="00410D75" w:rsidRPr="0049780B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Об’єкти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функціями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обслуговування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виробничого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призначення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lang w:val="uk-UA"/>
              </w:rPr>
              <w:t>R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</w:tr>
      <w:tr w:rsidR="00410D75" w:rsidRPr="0049780B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Допоміжні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об’єкти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lang w:val="uk-UA"/>
              </w:rPr>
              <w:t>R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</w:t>
            </w:r>
          </w:p>
        </w:tc>
      </w:tr>
      <w:tr w:rsidR="00410D75" w:rsidRPr="0049780B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Основні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об’єкти,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що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припускають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ремонт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технічне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обслуговування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без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технологічної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зупинки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lang w:val="uk-UA"/>
              </w:rPr>
              <w:t>R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9</w:t>
            </w:r>
          </w:p>
        </w:tc>
      </w:tr>
      <w:tr w:rsidR="00410D75" w:rsidRPr="0049780B">
        <w:trPr>
          <w:tblCellSpacing w:w="15" w:type="dxa"/>
        </w:trPr>
        <w:tc>
          <w:tcPr>
            <w:tcW w:w="39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Основні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об’єкти,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для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яких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ремонт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технічне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обслуговування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виконується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технологічній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зупинці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</w:t>
            </w:r>
            <w:r w:rsidRPr="0049780B">
              <w:rPr>
                <w:rFonts w:ascii="Times New Roman" w:hAnsi="Times New Roman" w:cs="Times New Roman"/>
                <w:b w:val="0"/>
                <w:bCs w:val="0"/>
                <w:iCs/>
                <w:spacing w:val="0"/>
                <w:sz w:val="20"/>
                <w:szCs w:val="20"/>
                <w:lang w:val="uk-UA"/>
              </w:rPr>
              <w:t>R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1)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10</w:t>
            </w:r>
          </w:p>
        </w:tc>
      </w:tr>
    </w:tbl>
    <w:p w:rsidR="0049780B" w:rsidRDefault="0049780B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моніторингу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встановлено,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III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категорії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високому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вразливості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групи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відповідальності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lang w:val="uk-UA"/>
        </w:rPr>
        <w:t>R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рівень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перевантажувача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становить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8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балів.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Після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розробки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заходів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ПЗН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досягнуте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зниження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4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балів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забезпечені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умови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розрахунковим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терміном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служіння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об'єкта.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урахуванням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специфікації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покриттів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обґрунтовані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заходи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протикорозійного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захисту.</w:t>
      </w:r>
    </w:p>
    <w:p w:rsidR="00410D75" w:rsidRPr="0049780B" w:rsidRDefault="005F15DF" w:rsidP="0049780B">
      <w:pPr>
        <w:pStyle w:val="ab"/>
        <w:ind w:firstLine="709"/>
        <w:jc w:val="both"/>
        <w:rPr>
          <w:bCs/>
          <w:iCs/>
          <w:noProof w:val="0"/>
          <w:szCs w:val="24"/>
          <w:lang w:val="uk-UA"/>
        </w:rPr>
      </w:pPr>
      <w:r>
        <w:rPr>
          <w:bCs/>
          <w:iCs/>
          <w:noProof w:val="0"/>
          <w:szCs w:val="24"/>
          <w:lang w:val="uk-UA"/>
        </w:rPr>
        <w:br w:type="page"/>
      </w:r>
      <w:r w:rsidR="00410D75" w:rsidRPr="0049780B">
        <w:rPr>
          <w:bCs/>
          <w:iCs/>
          <w:noProof w:val="0"/>
          <w:szCs w:val="24"/>
          <w:lang w:val="uk-UA"/>
        </w:rPr>
        <w:t>Таблиця</w:t>
      </w:r>
      <w:r w:rsidR="0049780B">
        <w:rPr>
          <w:bCs/>
          <w:iCs/>
          <w:noProof w:val="0"/>
          <w:szCs w:val="24"/>
          <w:lang w:val="uk-UA"/>
        </w:rPr>
        <w:t xml:space="preserve"> </w:t>
      </w:r>
      <w:r w:rsidR="00410D75" w:rsidRPr="0049780B">
        <w:rPr>
          <w:bCs/>
          <w:iCs/>
          <w:noProof w:val="0"/>
          <w:szCs w:val="24"/>
          <w:lang w:val="uk-UA"/>
        </w:rPr>
        <w:t>6</w:t>
      </w:r>
    </w:p>
    <w:p w:rsidR="00410D75" w:rsidRPr="0049780B" w:rsidRDefault="00410D75" w:rsidP="0049780B">
      <w:pPr>
        <w:pStyle w:val="a9"/>
        <w:spacing w:line="360" w:lineRule="auto"/>
        <w:ind w:firstLine="709"/>
        <w:jc w:val="both"/>
        <w:rPr>
          <w:bCs/>
          <w:sz w:val="28"/>
          <w:lang w:val="uk-UA"/>
        </w:rPr>
      </w:pPr>
      <w:r w:rsidRPr="0049780B">
        <w:rPr>
          <w:bCs/>
          <w:sz w:val="28"/>
          <w:lang w:val="uk-UA"/>
        </w:rPr>
        <w:t>Режим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роботи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сталевих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конструкцій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рудно-грейферного</w:t>
      </w:r>
      <w:r w:rsidR="0049780B">
        <w:rPr>
          <w:bCs/>
          <w:sz w:val="28"/>
          <w:lang w:val="uk-UA"/>
        </w:rPr>
        <w:t xml:space="preserve"> </w:t>
      </w:r>
      <w:r w:rsidRPr="0049780B">
        <w:rPr>
          <w:bCs/>
          <w:sz w:val="28"/>
          <w:lang w:val="uk-UA"/>
        </w:rPr>
        <w:t>перевантажувача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260"/>
        <w:gridCol w:w="1028"/>
        <w:gridCol w:w="993"/>
        <w:gridCol w:w="1080"/>
        <w:gridCol w:w="1260"/>
        <w:gridCol w:w="1260"/>
        <w:gridCol w:w="1219"/>
      </w:tblGrid>
      <w:tr w:rsidR="00410D75" w:rsidRPr="0049780B" w:rsidTr="0049780B">
        <w:tc>
          <w:tcPr>
            <w:tcW w:w="1222" w:type="dxa"/>
            <w:tcBorders>
              <w:bottom w:val="double" w:sz="4" w:space="0" w:color="auto"/>
            </w:tcBorders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Найме-нування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норма-тивного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доку-менту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Загальне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число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циклів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роботи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термін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його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служби,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С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о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Коефіцієнт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наванта-ження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крана,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vertAlign w:val="subscript"/>
                <w:lang w:val="uk-UA"/>
              </w:rPr>
              <w:t>р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Клас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використання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Клас/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режим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наван-таження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Група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класи-фікації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режиму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роботи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Режим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роботи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паспор-том</w:t>
            </w:r>
          </w:p>
        </w:tc>
        <w:tc>
          <w:tcPr>
            <w:tcW w:w="1219" w:type="dxa"/>
            <w:tcBorders>
              <w:bottom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Режим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роботи</w:t>
            </w:r>
          </w:p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Правилами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по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кранах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(ДНАОП</w:t>
            </w:r>
            <w:r w:rsid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0.00-1.03-02)</w:t>
            </w:r>
          </w:p>
        </w:tc>
      </w:tr>
      <w:tr w:rsidR="00410D75" w:rsidRPr="0049780B" w:rsidTr="0049780B">
        <w:trPr>
          <w:cantSplit/>
        </w:trPr>
        <w:tc>
          <w:tcPr>
            <w:tcW w:w="1222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ГОСТ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25546-82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1,18·106</w:t>
            </w:r>
          </w:p>
        </w:tc>
        <w:tc>
          <w:tcPr>
            <w:tcW w:w="1028" w:type="dxa"/>
            <w:vMerge w:val="restart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0,262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C7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Q3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8К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Досить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тяжкий</w:t>
            </w:r>
          </w:p>
        </w:tc>
        <w:tc>
          <w:tcPr>
            <w:tcW w:w="1219" w:type="dxa"/>
            <w:tcBorders>
              <w:top w:val="double" w:sz="4" w:space="0" w:color="auto"/>
            </w:tcBorders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Досить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тяжкий</w:t>
            </w:r>
          </w:p>
        </w:tc>
      </w:tr>
      <w:tr w:rsidR="00410D75" w:rsidRPr="0049780B" w:rsidTr="0049780B">
        <w:trPr>
          <w:cantSplit/>
        </w:trPr>
        <w:tc>
          <w:tcPr>
            <w:tcW w:w="1222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ISO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4301/1</w:t>
            </w:r>
          </w:p>
        </w:tc>
        <w:tc>
          <w:tcPr>
            <w:tcW w:w="1260" w:type="dxa"/>
            <w:vMerge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028" w:type="dxa"/>
            <w:vMerge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U6</w:t>
            </w:r>
          </w:p>
        </w:tc>
        <w:tc>
          <w:tcPr>
            <w:tcW w:w="1080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Q3</w:t>
            </w:r>
          </w:p>
        </w:tc>
        <w:tc>
          <w:tcPr>
            <w:tcW w:w="1260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А7</w:t>
            </w:r>
          </w:p>
        </w:tc>
        <w:tc>
          <w:tcPr>
            <w:tcW w:w="1260" w:type="dxa"/>
            <w:vMerge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</w:p>
        </w:tc>
        <w:tc>
          <w:tcPr>
            <w:tcW w:w="1219" w:type="dxa"/>
            <w:vAlign w:val="center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Тяжкий</w:t>
            </w:r>
          </w:p>
        </w:tc>
      </w:tr>
    </w:tbl>
    <w:p w:rsidR="0049780B" w:rsidRDefault="0049780B" w:rsidP="0049780B">
      <w:pPr>
        <w:pStyle w:val="a9"/>
        <w:spacing w:line="360" w:lineRule="auto"/>
        <w:ind w:firstLine="709"/>
        <w:jc w:val="both"/>
        <w:rPr>
          <w:sz w:val="28"/>
          <w:lang w:val="uk-UA"/>
        </w:rPr>
      </w:pPr>
    </w:p>
    <w:p w:rsidR="00410D75" w:rsidRPr="0049780B" w:rsidRDefault="00410D75" w:rsidP="0049780B">
      <w:pPr>
        <w:pStyle w:val="a9"/>
        <w:spacing w:line="360" w:lineRule="auto"/>
        <w:ind w:firstLine="709"/>
        <w:jc w:val="both"/>
        <w:rPr>
          <w:sz w:val="28"/>
          <w:lang w:val="uk-UA"/>
        </w:rPr>
      </w:pPr>
      <w:r w:rsidRPr="0049780B">
        <w:rPr>
          <w:sz w:val="28"/>
          <w:lang w:val="uk-UA"/>
        </w:rPr>
        <w:t>Аналіз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результатів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обстежень,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оцінки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технічного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стану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сталевих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конструкцій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продовження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ресурсу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роботи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конструктивних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елементів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дозволив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увести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для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розрахунків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на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корозійну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стійкість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і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довговічність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коефіцієнт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технологічної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безпеки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(табл.</w:t>
      </w:r>
      <w:r w:rsidR="0049780B">
        <w:rPr>
          <w:sz w:val="28"/>
          <w:lang w:val="uk-UA"/>
        </w:rPr>
        <w:t xml:space="preserve"> </w:t>
      </w:r>
      <w:r w:rsidRPr="0049780B">
        <w:rPr>
          <w:sz w:val="28"/>
          <w:lang w:val="uk-UA"/>
        </w:rPr>
        <w:t>7).</w:t>
      </w:r>
    </w:p>
    <w:p w:rsidR="0049780B" w:rsidRDefault="0049780B" w:rsidP="0049780B">
      <w:pPr>
        <w:pStyle w:val="a3"/>
        <w:spacing w:line="360" w:lineRule="auto"/>
        <w:ind w:firstLine="709"/>
        <w:rPr>
          <w:bCs/>
          <w:iCs/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iCs/>
          <w:szCs w:val="24"/>
          <w:lang w:val="uk-UA"/>
        </w:rPr>
        <w:t>Таблиця</w:t>
      </w:r>
      <w:r w:rsidR="0049780B">
        <w:rPr>
          <w:bCs/>
          <w:iCs/>
          <w:szCs w:val="24"/>
          <w:lang w:val="uk-UA"/>
        </w:rPr>
        <w:t xml:space="preserve"> </w:t>
      </w:r>
      <w:r w:rsidRPr="0049780B">
        <w:rPr>
          <w:bCs/>
          <w:iCs/>
          <w:szCs w:val="24"/>
          <w:lang w:val="uk-UA"/>
        </w:rPr>
        <w:t>7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bCs/>
          <w:szCs w:val="24"/>
          <w:lang w:val="uk-UA"/>
        </w:rPr>
      </w:pPr>
      <w:r w:rsidRPr="0049780B">
        <w:rPr>
          <w:bCs/>
          <w:szCs w:val="24"/>
          <w:lang w:val="uk-UA"/>
        </w:rPr>
        <w:t>Групи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відповідальності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будівель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і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споруд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за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технологічною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безпекою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1157"/>
        <w:gridCol w:w="1004"/>
        <w:gridCol w:w="1004"/>
        <w:gridCol w:w="1157"/>
        <w:gridCol w:w="1080"/>
      </w:tblGrid>
      <w:tr w:rsidR="00410D75" w:rsidRPr="0049780B" w:rsidTr="0049780B">
        <w:tc>
          <w:tcPr>
            <w:tcW w:w="3794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Групи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відповідальності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за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технологічною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t>безпекою</w:t>
            </w:r>
          </w:p>
        </w:tc>
        <w:tc>
          <w:tcPr>
            <w:tcW w:w="1157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iCs/>
                <w:sz w:val="20"/>
                <w:szCs w:val="20"/>
                <w:lang w:val="uk-UA"/>
              </w:rPr>
              <w:t>R</w:t>
            </w:r>
            <w:r w:rsidRPr="0049780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04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iCs/>
                <w:sz w:val="20"/>
                <w:szCs w:val="20"/>
                <w:lang w:val="uk-UA"/>
              </w:rPr>
              <w:t>R</w:t>
            </w:r>
            <w:r w:rsidRPr="0049780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04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iCs/>
                <w:sz w:val="20"/>
                <w:szCs w:val="20"/>
                <w:lang w:val="uk-UA"/>
              </w:rPr>
              <w:t>R</w:t>
            </w:r>
            <w:r w:rsidRPr="0049780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57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iCs/>
                <w:sz w:val="20"/>
                <w:szCs w:val="20"/>
                <w:lang w:val="uk-UA"/>
              </w:rPr>
              <w:t>R</w:t>
            </w:r>
            <w:r w:rsidRPr="0049780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iCs/>
                <w:sz w:val="20"/>
                <w:szCs w:val="20"/>
                <w:lang w:val="uk-UA"/>
              </w:rPr>
              <w:t>R</w:t>
            </w:r>
            <w:r w:rsidRPr="0049780B">
              <w:rPr>
                <w:sz w:val="20"/>
                <w:szCs w:val="20"/>
                <w:lang w:val="uk-UA"/>
              </w:rPr>
              <w:t>5</w:t>
            </w:r>
          </w:p>
        </w:tc>
      </w:tr>
      <w:tr w:rsidR="00410D75" w:rsidRPr="0049780B" w:rsidTr="0049780B">
        <w:tc>
          <w:tcPr>
            <w:tcW w:w="3794" w:type="dxa"/>
          </w:tcPr>
          <w:p w:rsidR="00410D75" w:rsidRPr="0049780B" w:rsidRDefault="00410D75" w:rsidP="0049780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</w:pP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Коефіцієнт</w:t>
            </w:r>
            <w:r w:rsidR="0049780B"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rFonts w:ascii="Times New Roman" w:hAnsi="Times New Roman" w:cs="Times New Roman"/>
                <w:b w:val="0"/>
                <w:bCs w:val="0"/>
                <w:spacing w:val="0"/>
                <w:sz w:val="20"/>
                <w:szCs w:val="20"/>
                <w:lang w:val="uk-UA"/>
              </w:rPr>
              <w:t>технологічної</w:t>
            </w:r>
          </w:p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безпеки,</w:t>
            </w:r>
            <w:r w:rsidR="0049780B" w:rsidRPr="0049780B">
              <w:rPr>
                <w:sz w:val="20"/>
                <w:szCs w:val="20"/>
                <w:lang w:val="uk-UA"/>
              </w:rPr>
              <w:t xml:space="preserve"> </w:t>
            </w:r>
            <w:r w:rsidRPr="0049780B">
              <w:rPr>
                <w:sz w:val="20"/>
                <w:szCs w:val="20"/>
                <w:lang w:val="uk-UA"/>
              </w:rPr>
              <w:sym w:font="Symbol" w:char="F067"/>
            </w:r>
            <w:r w:rsidRPr="0049780B">
              <w:rPr>
                <w:iCs/>
                <w:sz w:val="20"/>
                <w:szCs w:val="20"/>
                <w:vertAlign w:val="subscript"/>
                <w:lang w:val="uk-UA"/>
              </w:rPr>
              <w:t>sr</w:t>
            </w:r>
          </w:p>
        </w:tc>
        <w:tc>
          <w:tcPr>
            <w:tcW w:w="1157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1,25</w:t>
            </w:r>
          </w:p>
        </w:tc>
        <w:tc>
          <w:tcPr>
            <w:tcW w:w="1004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1,15</w:t>
            </w:r>
          </w:p>
        </w:tc>
        <w:tc>
          <w:tcPr>
            <w:tcW w:w="1004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1,10</w:t>
            </w:r>
          </w:p>
        </w:tc>
        <w:tc>
          <w:tcPr>
            <w:tcW w:w="1157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1,05</w:t>
            </w:r>
          </w:p>
        </w:tc>
        <w:tc>
          <w:tcPr>
            <w:tcW w:w="1080" w:type="dxa"/>
          </w:tcPr>
          <w:p w:rsidR="00410D75" w:rsidRPr="0049780B" w:rsidRDefault="00410D75" w:rsidP="0049780B">
            <w:pPr>
              <w:pStyle w:val="a3"/>
              <w:spacing w:line="360" w:lineRule="auto"/>
              <w:ind w:firstLine="0"/>
              <w:rPr>
                <w:sz w:val="20"/>
                <w:szCs w:val="20"/>
                <w:lang w:val="uk-UA"/>
              </w:rPr>
            </w:pPr>
            <w:r w:rsidRPr="0049780B">
              <w:rPr>
                <w:sz w:val="20"/>
                <w:szCs w:val="20"/>
                <w:lang w:val="uk-UA"/>
              </w:rPr>
              <w:t>1,0</w:t>
            </w:r>
          </w:p>
        </w:tc>
      </w:tr>
    </w:tbl>
    <w:p w:rsidR="00FB2026" w:rsidRDefault="00FB2026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napToGrid w:val="0"/>
          <w:szCs w:val="24"/>
          <w:lang w:val="uk-UA"/>
        </w:rPr>
      </w:pPr>
      <w:r w:rsidRPr="0049780B">
        <w:rPr>
          <w:szCs w:val="24"/>
          <w:lang w:val="uk-UA"/>
        </w:rPr>
        <w:t>Розроблений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методичний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підхід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якісних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кількісних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критеріїв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використаний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об'ємів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ремонтно-відбудовчих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робіт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мартенівського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цеху,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мостового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перевантажувача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РГК-2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ін.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«Донецьксталь»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-металургійний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завод»,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що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забезпечило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можливість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терміном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служби.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Загальний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економічний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ефект,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пов'язаний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виконанням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розрахунків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корозійну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стійкість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довговічність,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також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більш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повного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використання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ресурсу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конструкцій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відстрочки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витрат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на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заміну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будівель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і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споруд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розрахунковим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терміном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експлуатації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для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об'єктів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«Донецьксталь</w:t>
      </w:r>
      <w:r w:rsidRPr="0049780B">
        <w:rPr>
          <w:szCs w:val="24"/>
          <w:lang w:val="uk-UA"/>
        </w:rPr>
        <w:t>»</w:t>
      </w:r>
      <w:r w:rsidR="0049780B">
        <w:rPr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-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металургійний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завод»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склав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1470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тис.грн.</w:t>
      </w:r>
    </w:p>
    <w:p w:rsidR="00410D75" w:rsidRPr="0049780B" w:rsidRDefault="005F15DF" w:rsidP="0049780B">
      <w:pPr>
        <w:pStyle w:val="1"/>
        <w:spacing w:line="360" w:lineRule="auto"/>
        <w:ind w:firstLine="709"/>
        <w:jc w:val="center"/>
        <w:rPr>
          <w:b/>
          <w:szCs w:val="24"/>
          <w:lang w:val="uk-UA"/>
        </w:rPr>
      </w:pPr>
      <w:r>
        <w:rPr>
          <w:b/>
          <w:bCs/>
          <w:szCs w:val="24"/>
          <w:lang w:val="uk-UA"/>
        </w:rPr>
        <w:br w:type="page"/>
      </w:r>
      <w:r w:rsidR="00410D75" w:rsidRPr="0049780B">
        <w:rPr>
          <w:b/>
          <w:bCs/>
          <w:szCs w:val="24"/>
          <w:lang w:val="uk-UA"/>
        </w:rPr>
        <w:t>ВИСНОВКИ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ході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комплексу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теоретичних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експериментальних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підвищення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програм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строку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отримані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такі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результати:</w:t>
      </w:r>
    </w:p>
    <w:p w:rsidR="00410D75" w:rsidRPr="0049780B" w:rsidRDefault="00410D75" w:rsidP="0049780B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якісні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кількісні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критерії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альтернативними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ознаками,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включають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якісні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характеристики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вразливості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загроз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залежності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групи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відповідальності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об’єктів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щодо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Обґрунтовано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методику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діагностики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моніторингу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виробничих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об’єктів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розрахунковим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терміном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результатами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статистичного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дефектів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пошкоджень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агресивних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середовищах.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Pr="0049780B" w:rsidRDefault="00410D75" w:rsidP="0049780B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Обґрунтовані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моделей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діагностики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покриттів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ознаками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граничних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станів.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Розроблений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методичний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підхід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включає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аналіз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вразливості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об’єктному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рівні.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залежності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ступеня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критичності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дефектів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ушкоджень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обґрунтовані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види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вибіркового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або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безперервного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контролю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інтервальні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значення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оцінювання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металургійного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комплексу.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Pr="0049780B" w:rsidRDefault="00410D75" w:rsidP="0049780B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Розроблена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методика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реєстраційної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продовженні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терміну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основі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функціонально-вартісного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аналізу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післяремонтної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несучої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здатності.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класифікаційними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ознаками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граничних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встановлена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розрахункова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схема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системи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«Навантаження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Середовище»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розрахункова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модель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коефіцієнта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надійності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67"/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vertAlign w:val="subscript"/>
          <w:lang w:val="uk-UA"/>
        </w:rPr>
        <w:t>zrn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вторинного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захисту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строку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покриттів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(Т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vertAlign w:val="subscript"/>
          <w:lang w:val="uk-UA"/>
        </w:rPr>
        <w:t>в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vertAlign w:val="subscript"/>
          <w:lang w:val="uk-UA"/>
        </w:rPr>
        <w:sym w:font="Symbol" w:char="F067"/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рік).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результатами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випробувань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покриттів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обґрунтований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коефіцієнт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готовності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lang w:val="uk-UA"/>
        </w:rPr>
        <w:t>K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vertAlign w:val="subscript"/>
          <w:lang w:val="uk-UA"/>
        </w:rPr>
        <w:t>g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що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дозволяє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виконати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порівняльну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засобів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захисту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урахуванням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значень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втрат.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</w:p>
    <w:p w:rsidR="00410D75" w:rsidRPr="0049780B" w:rsidRDefault="00410D75" w:rsidP="0049780B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Сформульовані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специфікації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керування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параметрами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визначенням,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моніторингу,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ступеня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критичності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дефектів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пошкоджень.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Вперше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організації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обслуговування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ремонтно-фарбувальних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робіт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фактичним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станом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використаний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експертний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пропускної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регулювання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ресурсу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68"/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).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Вирішена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задача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коефіцієнта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зворотного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зв’язку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79"/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негативних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зовнішніх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впливах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lang w:val="uk-UA"/>
        </w:rPr>
        <w:t>A(L,G,S,R)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варіюванні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параметрів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конструктивної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форми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lang w:val="uk-UA"/>
        </w:rPr>
        <w:t>A(f)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забезпечення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післяремонтної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несучої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споруд.</w:t>
      </w:r>
    </w:p>
    <w:p w:rsidR="00410D75" w:rsidRPr="0049780B" w:rsidRDefault="00410D75" w:rsidP="0049780B">
      <w:pPr>
        <w:numPr>
          <w:ilvl w:val="0"/>
          <w:numId w:val="7"/>
        </w:numPr>
        <w:tabs>
          <w:tab w:val="clear" w:pos="360"/>
          <w:tab w:val="num" w:pos="90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Методика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реєстраційної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показниками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ремонтопридатності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використана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розробці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бази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«Ресурс»,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склад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функції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регламентовані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положеннями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«Інтегрованої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системи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управління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якістю,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екологією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охороною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праці»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стандарту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підприємства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СТП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101С-6.3-05-2007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«Забезпечення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експлуатації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споруд».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експериментальними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даними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обстежень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виробничих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об’єктів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зроблено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оцінку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ступеня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критичності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дефектів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ушкоджень</w:t>
      </w:r>
      <w:r w:rsidR="0049780B">
        <w:rPr>
          <w:rFonts w:ascii="Times New Roman" w:hAnsi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51"/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vertAlign w:val="subscript"/>
          <w:lang w:val="uk-UA"/>
        </w:rPr>
        <w:t>f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),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визначені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рівні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ризиків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(R</w:t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vertAlign w:val="subscript"/>
          <w:lang w:val="uk-UA"/>
        </w:rPr>
        <w:t>i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бал)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встановлені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значення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коефіцієнта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технологічної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безпеки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(</w:t>
      </w:r>
      <w:r w:rsidRPr="0049780B">
        <w:rPr>
          <w:rFonts w:ascii="Times New Roman" w:hAnsi="Times New Roman" w:cs="Times New Roman"/>
          <w:b w:val="0"/>
          <w:bCs w:val="0"/>
          <w:spacing w:val="0"/>
          <w:lang w:val="uk-UA"/>
        </w:rPr>
        <w:sym w:font="Symbol" w:char="F067"/>
      </w:r>
      <w:r w:rsidRPr="0049780B">
        <w:rPr>
          <w:rFonts w:ascii="Times New Roman" w:hAnsi="Times New Roman" w:cs="Times New Roman"/>
          <w:b w:val="0"/>
          <w:bCs w:val="0"/>
          <w:iCs/>
          <w:spacing w:val="0"/>
          <w:szCs w:val="24"/>
          <w:vertAlign w:val="subscript"/>
          <w:lang w:val="uk-UA"/>
        </w:rPr>
        <w:t>sr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).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Економічний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ефект,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пов’язаний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виконанням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розрахунків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конструктивних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елементів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корозійну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стійкість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довговічність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для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об’єктів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«Донецьксталь»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-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металургійний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завод»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склав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1470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тис.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грн.</w:t>
      </w:r>
    </w:p>
    <w:p w:rsidR="00410D75" w:rsidRPr="0049780B" w:rsidRDefault="0049780B" w:rsidP="0049780B">
      <w:pPr>
        <w:pStyle w:val="a5"/>
        <w:spacing w:line="360" w:lineRule="auto"/>
        <w:ind w:firstLine="709"/>
        <w:jc w:val="center"/>
        <w:rPr>
          <w:b/>
          <w:smallCaps w:val="0"/>
          <w:szCs w:val="24"/>
          <w:lang w:val="uk-UA"/>
        </w:rPr>
      </w:pPr>
      <w:r>
        <w:rPr>
          <w:bCs/>
          <w:caps/>
          <w:szCs w:val="24"/>
          <w:lang w:val="uk-UA"/>
        </w:rPr>
        <w:br w:type="page"/>
      </w:r>
      <w:r w:rsidR="00410D75" w:rsidRPr="0049780B">
        <w:rPr>
          <w:b/>
          <w:bCs/>
          <w:caps/>
          <w:szCs w:val="24"/>
          <w:lang w:val="uk-UA"/>
        </w:rPr>
        <w:t>список</w:t>
      </w:r>
      <w:r w:rsidRPr="0049780B">
        <w:rPr>
          <w:b/>
          <w:bCs/>
          <w:caps/>
          <w:szCs w:val="24"/>
          <w:lang w:val="uk-UA"/>
        </w:rPr>
        <w:t xml:space="preserve"> </w:t>
      </w:r>
      <w:r w:rsidR="00410D75" w:rsidRPr="0049780B">
        <w:rPr>
          <w:b/>
          <w:bCs/>
          <w:caps/>
          <w:szCs w:val="24"/>
          <w:lang w:val="uk-UA"/>
        </w:rPr>
        <w:t>опублікованих</w:t>
      </w:r>
      <w:r w:rsidRPr="0049780B">
        <w:rPr>
          <w:b/>
          <w:bCs/>
          <w:caps/>
          <w:szCs w:val="24"/>
          <w:lang w:val="uk-UA"/>
        </w:rPr>
        <w:t xml:space="preserve"> </w:t>
      </w:r>
      <w:r w:rsidR="00410D75" w:rsidRPr="0049780B">
        <w:rPr>
          <w:b/>
          <w:bCs/>
          <w:caps/>
          <w:szCs w:val="24"/>
          <w:lang w:val="uk-UA"/>
        </w:rPr>
        <w:t>праць</w:t>
      </w:r>
      <w:r w:rsidRPr="0049780B">
        <w:rPr>
          <w:b/>
          <w:bCs/>
          <w:caps/>
          <w:szCs w:val="24"/>
          <w:lang w:val="uk-UA"/>
        </w:rPr>
        <w:t xml:space="preserve"> </w:t>
      </w:r>
      <w:r w:rsidR="00410D75" w:rsidRPr="0049780B">
        <w:rPr>
          <w:b/>
          <w:bCs/>
          <w:caps/>
          <w:szCs w:val="24"/>
          <w:lang w:val="uk-UA"/>
        </w:rPr>
        <w:t>за</w:t>
      </w:r>
      <w:r w:rsidRPr="0049780B">
        <w:rPr>
          <w:b/>
          <w:bCs/>
          <w:caps/>
          <w:szCs w:val="24"/>
          <w:lang w:val="uk-UA"/>
        </w:rPr>
        <w:t xml:space="preserve"> </w:t>
      </w:r>
      <w:r w:rsidR="00410D75" w:rsidRPr="0049780B">
        <w:rPr>
          <w:b/>
          <w:bCs/>
          <w:caps/>
          <w:szCs w:val="24"/>
          <w:lang w:val="uk-UA"/>
        </w:rPr>
        <w:t>темою</w:t>
      </w:r>
      <w:r w:rsidRPr="0049780B">
        <w:rPr>
          <w:b/>
          <w:bCs/>
          <w:caps/>
          <w:szCs w:val="24"/>
          <w:lang w:val="uk-UA"/>
        </w:rPr>
        <w:t xml:space="preserve"> </w:t>
      </w:r>
      <w:r w:rsidR="00410D75" w:rsidRPr="0049780B">
        <w:rPr>
          <w:b/>
          <w:bCs/>
          <w:caps/>
          <w:szCs w:val="24"/>
          <w:lang w:val="uk-UA"/>
        </w:rPr>
        <w:t>дисертації</w:t>
      </w:r>
    </w:p>
    <w:p w:rsidR="0049780B" w:rsidRPr="0049780B" w:rsidRDefault="0049780B" w:rsidP="0049780B">
      <w:pPr>
        <w:pStyle w:val="a5"/>
        <w:spacing w:line="360" w:lineRule="auto"/>
        <w:ind w:firstLine="709"/>
        <w:rPr>
          <w:smallCaps w:val="0"/>
          <w:szCs w:val="24"/>
          <w:lang w:val="uk-UA"/>
        </w:rPr>
      </w:pP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Методика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оценки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уровня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повреждаемости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данным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мониторинга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технического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состояния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конструкций.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Науковий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вісник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будівництва.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//Зб.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Наукових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праць.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Вип.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46/2008.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–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Харків,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ХДТУБА,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2008.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–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с.88-91.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Королев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В.П.,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Расчетно-экспериментальная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оценка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сроков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службы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защитных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покрытий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стальных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конструкций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коррозионных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средах.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Будівництво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України,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№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4,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2008.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–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16-17.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Королёв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В.П.,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Учет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требований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технологической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безопасности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оценивании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рисков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эксплуатации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промышленных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объектов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коррозионных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средах.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Современные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строительные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конструкции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из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металла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древесины.//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Сб.научн.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трудов,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ч.1.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–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Одесса,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ОГАСА,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2007.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С.98-103.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Сурин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Р.Н.,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Галактионов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Селютин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Войтова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Ж.Н.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Безаварийная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эксплуатация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конструкций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зданий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сооружений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предприятия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основе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внедрения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новых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материалов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технологий./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Кокс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химия,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№11,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2003,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с.27-30.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Медянцев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С.А.,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Золотарев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Нижник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В.Ю.,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Базов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Кагадовский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В.Е.,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Бежин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В.И.,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Дариенко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Е.В.,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Непомнящий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Л.И.,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Зулгарин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В.Г.,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Прилипко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Шляхов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А.А.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Реконструкция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коксовых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батарей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ОАО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«Ясиновский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коксохимический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завод»./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Кокс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химия,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№11,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2003,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с.18-20.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Ю.В.Філатов,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О.М.Гібаленко,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Ю.Ю.Хилько,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Ю.Г.Сулима.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Формування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бази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данних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корозійний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стан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металоконструкцій./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Фізико-хімічна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механіка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матеріалів.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Спец.вип.№4.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Проблеми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корозії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протикорозійного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захисту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матеріалів,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Львів,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2004,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329-341.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Філатов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Селютін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Суліма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Побудова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територіальних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будівельних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норм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щодо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впровадження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регіональної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системи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моніторингу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залишкового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ресурсу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урахуванням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вимог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технологічної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безпеки./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Фізико-хімічна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механіка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матеріалів.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Спец.вип.№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5.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Проблеми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корозії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протикорозійного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захисту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матеріалів,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Львів,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2006,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439-442.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Крикунов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Б.П.,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Гордиенко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А.Н.,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Коломийченко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А.И.,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Ковалев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Е.Т.,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Шульга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Опыт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производства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доменного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кокса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улучшенного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качества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из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украинских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углей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испытание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его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доменной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печи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использованием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ПУТ.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Углехимический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журнал,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№5,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2007.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–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с.11-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17.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E.Gorokhov,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Yu.Filatov,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Yu.Vysotsky,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O.Shevchenko,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Yu.Selyutin.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Modified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Antirust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Stuffs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On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The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Basis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Of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indene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coumarone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resin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and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synthetic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fatty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acids./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EUROCORR-2003.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(The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European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Corrosion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Congress.)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Book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Of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Abstracts.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Budapest,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28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September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October,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2003,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р.317.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Гибаленко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А.Н.,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Селютин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Программа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обеспечения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надежности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зданий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сооружений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ОАО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“Донецкий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металлургический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завод”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основе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аудита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коррозионного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состояния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строительных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металлоконструкций.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Захист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від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корозії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і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моніторинг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залишкового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ресурсу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промислових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будівель,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споруд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інженерних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мереж.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Матеріали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научн-практ.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конф.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(м.Донецьк,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9-12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червня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2003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р.).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Донецьк: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УАМК,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2003,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с.402-407.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Рухович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И.Р.,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Гибаленко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А.Н.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Продление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остаточного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ресурса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рудно-грейферного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крана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конструктивно-технологических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ограничениях./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Металлические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конструкции: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взгляд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прошлое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будущее: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Сборник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докладов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VIII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Украинской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научно-технической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конференции.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Часть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II.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К.: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Изд-во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«Сталь»,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2004,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с.417-428.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Техническое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регулирование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ресурса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производственных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зданий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сооружений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учетом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требований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технологической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безопасности.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/Экологические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проблемы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индустриальных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мегаполисов: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Материалы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межд.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научн.-практ.конф.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Донецк-Авдеевка,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2006.</w:t>
      </w:r>
    </w:p>
    <w:p w:rsidR="00410D75" w:rsidRPr="0049780B" w:rsidRDefault="00410D75" w:rsidP="0049780B">
      <w:pPr>
        <w:pStyle w:val="a5"/>
        <w:numPr>
          <w:ilvl w:val="0"/>
          <w:numId w:val="8"/>
        </w:numPr>
        <w:tabs>
          <w:tab w:val="clear" w:pos="720"/>
          <w:tab w:val="num" w:pos="0"/>
          <w:tab w:val="left" w:pos="900"/>
        </w:tabs>
        <w:spacing w:line="360" w:lineRule="auto"/>
        <w:ind w:left="0" w:firstLine="0"/>
        <w:rPr>
          <w:smallCaps w:val="0"/>
          <w:szCs w:val="24"/>
          <w:lang w:val="uk-UA"/>
        </w:rPr>
      </w:pPr>
      <w:r w:rsidRPr="0049780B">
        <w:rPr>
          <w:smallCaps w:val="0"/>
          <w:szCs w:val="24"/>
          <w:lang w:val="uk-UA"/>
        </w:rPr>
        <w:t>Королёв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В.П.,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Филатов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Ю.В.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Оценка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риска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техническом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регулировании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безопасности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производственных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зданий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сооружений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V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міжн.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наук.-техн.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конф.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“Будівельні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металеві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конструкції: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сьогоднення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та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перспективи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розвитку”./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19-22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вересня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2006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р.,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Київ.-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К.: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Видавництво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“Сталь”,</w:t>
      </w:r>
      <w:r w:rsidR="0049780B">
        <w:rPr>
          <w:smallCaps w:val="0"/>
          <w:szCs w:val="24"/>
          <w:lang w:val="uk-UA"/>
        </w:rPr>
        <w:t xml:space="preserve"> </w:t>
      </w:r>
      <w:r w:rsidRPr="0049780B">
        <w:rPr>
          <w:smallCaps w:val="0"/>
          <w:szCs w:val="24"/>
          <w:lang w:val="uk-UA"/>
        </w:rPr>
        <w:t>с.287-290.</w:t>
      </w:r>
    </w:p>
    <w:p w:rsidR="00410D75" w:rsidRPr="0049780B" w:rsidRDefault="00410D75" w:rsidP="0049780B">
      <w:pPr>
        <w:pStyle w:val="a3"/>
        <w:spacing w:line="360" w:lineRule="auto"/>
        <w:ind w:firstLine="0"/>
        <w:rPr>
          <w:szCs w:val="24"/>
          <w:lang w:val="uk-UA"/>
        </w:rPr>
      </w:pPr>
      <w:r w:rsidRPr="0049780B">
        <w:rPr>
          <w:szCs w:val="24"/>
          <w:lang w:val="uk-UA"/>
        </w:rPr>
        <w:t>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публікаціях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співавторами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здобувачем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виконані: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нормативу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відмови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властивостей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оцінці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[2,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9];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стандарту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підприємства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[3,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10];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обґрунтування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обслуговуванні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[4,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6];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сформульовані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вимоги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модернізації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реконструкції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об'єктів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аналізу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змін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[5,8]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[7];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вразливості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даними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технічного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[7,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11];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запропоновані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алгоритм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експертизи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аварійних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ситуацій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критеріями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[13].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9780B" w:rsidP="0049780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pacing w:val="0"/>
          <w:szCs w:val="24"/>
          <w:lang w:val="uk-UA"/>
        </w:rPr>
      </w:pP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br w:type="page"/>
      </w:r>
      <w:r w:rsidR="00410D75" w:rsidRPr="0049780B">
        <w:rPr>
          <w:rFonts w:ascii="Times New Roman" w:hAnsi="Times New Roman" w:cs="Times New Roman"/>
          <w:spacing w:val="0"/>
          <w:szCs w:val="24"/>
          <w:lang w:val="uk-UA"/>
        </w:rPr>
        <w:t>АНОТАЦІЯ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Філатов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Ю.В.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Рукопис.</w:t>
      </w:r>
    </w:p>
    <w:p w:rsidR="00410D75" w:rsidRPr="0049780B" w:rsidRDefault="00410D75" w:rsidP="0049780B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Дисертація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здобуття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наукового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ступеня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кандидата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технічних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за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спеціальністю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05.23.01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–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Будівельні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конструкції,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будівлі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споруди.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/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Відкрите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акціонерне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товариство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Український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науково-дослідний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та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проектний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інститут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сталевих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конструкцій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імені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В.М.Шимановського.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-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Київ,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  <w:t>2008.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Наведені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досліджень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їхніх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підставі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підходів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обґрунтовані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будівель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споруд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фактичним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станом.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Розроблена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реєстраційної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розрахунково-експериментального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середовищах.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Виконані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прискорені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натурні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випробування,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запропоновані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моніторингу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експлуатаційних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показників,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визначені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коефіцієнта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готовності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розглянутих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варіантів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покриттів.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Зроблено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оцінку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післяремонтної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несучої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здатності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розрахунку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стійкість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граничними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станами.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економічну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ефективність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управління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показниками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технологічної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реалізації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програм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забезпечення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надійності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продовження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зниження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ризиків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виробничих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об’єктів.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zCs w:val="24"/>
          <w:lang w:val="uk-UA"/>
        </w:rPr>
        <w:t>Ключові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слова: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сталеві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конструкції,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захисні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покриття,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корозійна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стійкість,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довговічність,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ремонтопридатність,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технологічна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безпека,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рівень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ризику.</w:t>
      </w:r>
    </w:p>
    <w:p w:rsidR="00410D75" w:rsidRPr="0049780B" w:rsidRDefault="0049780B" w:rsidP="0049780B">
      <w:pPr>
        <w:pStyle w:val="a3"/>
        <w:spacing w:line="360" w:lineRule="auto"/>
        <w:ind w:firstLine="709"/>
        <w:jc w:val="center"/>
        <w:rPr>
          <w:b/>
          <w:bCs/>
          <w:szCs w:val="24"/>
          <w:lang w:val="uk-UA"/>
        </w:rPr>
      </w:pPr>
      <w:r>
        <w:rPr>
          <w:bCs/>
          <w:szCs w:val="24"/>
          <w:lang w:val="uk-UA"/>
        </w:rPr>
        <w:br w:type="page"/>
      </w:r>
      <w:r w:rsidR="00410D75" w:rsidRPr="0049780B">
        <w:rPr>
          <w:b/>
          <w:bCs/>
          <w:szCs w:val="24"/>
          <w:lang w:val="uk-UA"/>
        </w:rPr>
        <w:t>АННОТАЦИЯ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Филатов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Ю.В.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Технологическая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продление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средах.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Рукопись.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Диссертация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соискание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научной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степени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кандидата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технических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наук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специальности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05.23.01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–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Строительные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сооружения.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/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Открытое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акционерное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общество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Украинский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научно-исследовательский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проектный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институт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имени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В.Н.Шимановского.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Киев,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2008.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napToGrid w:val="0"/>
          <w:szCs w:val="24"/>
          <w:lang w:val="uk-UA"/>
        </w:rPr>
      </w:pPr>
      <w:r w:rsidRPr="0049780B">
        <w:rPr>
          <w:szCs w:val="24"/>
          <w:lang w:val="uk-UA"/>
        </w:rPr>
        <w:t>Цель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работы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теоретическое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обобщение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экспериментальное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обоснование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сооружений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показателям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долговечности,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ремонтоспособности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послеремонтной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несущей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способности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средах.</w:t>
      </w:r>
      <w:r w:rsidR="0049780B">
        <w:rPr>
          <w:snapToGrid w:val="0"/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napToGrid w:val="0"/>
          <w:szCs w:val="24"/>
          <w:lang w:val="uk-UA"/>
        </w:rPr>
        <w:t>Введение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содержит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цель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задачи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исследования,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научную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новизну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работы.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необходимость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разработки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поддержанию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работоспособности,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повышению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эксплуатационных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свойств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зданий,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сооружений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инженерных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сетей,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которые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полностью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значительной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степени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исчерпали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свой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нормативный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первом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разделе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представлен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анализ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выполненных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исследований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технического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состояния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разработке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повышения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надежности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строительных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Рассмотрены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методические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подходы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определены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принципы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обеспечения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надежности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строительных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необходимость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предупреждения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разрушения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продления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объектов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процессного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подхода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менеджмента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качества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ISO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9001:2000.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Сформулирована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задача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определения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качественных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количественных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критериев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продлении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втором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разделе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изложена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регистрационной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уровня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риска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продлении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остаточного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анализа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показателей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ремонтопригодности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послеремонтной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несущей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способности.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соответствии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установленным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подходом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выбор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контроля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мониторинге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состояния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объектов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производится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зависимости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степени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повреждений.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Для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уязвимости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определены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ремонтнопригодности,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учитывающие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возможности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выполнения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ремонтно-восстановительных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работ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программе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обеспечения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надежности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(ПОН).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Управление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безопасностью,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задание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требований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формированию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учетом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фактического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состояния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выполнено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помощью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коэффициента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обратной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связи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режима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эксплуатации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79"/>
      </w:r>
      <w:r w:rsidRPr="0049780B">
        <w:rPr>
          <w:szCs w:val="24"/>
          <w:lang w:val="uk-UA"/>
        </w:rPr>
        <w:t>)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характеристики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пропускной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способности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регулирования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(</w:t>
      </w:r>
      <w:r w:rsidRPr="0049780B">
        <w:rPr>
          <w:lang w:val="uk-UA"/>
        </w:rPr>
        <w:sym w:font="Symbol" w:char="F068"/>
      </w:r>
      <w:r w:rsidRPr="0049780B">
        <w:rPr>
          <w:szCs w:val="24"/>
          <w:lang w:val="uk-UA"/>
        </w:rPr>
        <w:t>).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третьем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разделе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произведена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показателей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ремонтопригодности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основе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ускоренных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натурных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испытаний,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мониторинга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эксплуатации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фактическому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состоянию.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Представлены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результаты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физико-химического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математического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моделирования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коэффициента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готовности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сравнительной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оценки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показателей</w:t>
      </w:r>
      <w:r w:rsidR="0049780B">
        <w:rPr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ремонтопригодности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для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обоснования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параметров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спецификации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ресурсу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учетом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интенсивности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воздействий.</w:t>
      </w:r>
      <w:r w:rsidR="0049780B">
        <w:rPr>
          <w:szCs w:val="24"/>
          <w:lang w:val="uk-UA"/>
        </w:rPr>
        <w:t xml:space="preserve"> 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четвертом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разделе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систематизированы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признаки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эксплуатационного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состояния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зависимости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от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уровня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уязвимости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угроз,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групп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ответственности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безопасности,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эффективности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существующих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дополнительных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инженерной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защиты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объектов.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Разработан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алгоритм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предупреждения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аварийных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ситуаций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промышленных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объектов,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включающий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определение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уровня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риска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технологической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безопасности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bCs/>
          <w:szCs w:val="24"/>
          <w:lang w:val="uk-UA"/>
        </w:rPr>
        <w:t>(</w:t>
      </w:r>
      <w:r w:rsidRPr="0049780B">
        <w:rPr>
          <w:iCs/>
          <w:szCs w:val="24"/>
          <w:lang w:val="uk-UA"/>
        </w:rPr>
        <w:t>R</w:t>
      </w:r>
      <w:r w:rsidRPr="0049780B">
        <w:rPr>
          <w:iCs/>
          <w:szCs w:val="24"/>
          <w:vertAlign w:val="subscript"/>
          <w:lang w:val="uk-UA"/>
        </w:rPr>
        <w:t>i</w:t>
      </w:r>
      <w:r w:rsidRPr="0049780B">
        <w:rPr>
          <w:szCs w:val="24"/>
          <w:lang w:val="uk-UA"/>
        </w:rPr>
        <w:t>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балл</w:t>
      </w:r>
      <w:r w:rsidRPr="0049780B">
        <w:rPr>
          <w:bCs/>
          <w:szCs w:val="24"/>
          <w:lang w:val="uk-UA"/>
        </w:rPr>
        <w:t>)</w:t>
      </w:r>
      <w:r w:rsidR="0049780B">
        <w:rPr>
          <w:bCs/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эксплуатации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средах.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разработанной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методике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выполнен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анализ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степени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критичности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дефектов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и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повреждений,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обоснованы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меры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продлению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ресурса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стальных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конструкций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рудно-грейферного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крана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учетом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коррозионных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воздействий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эксплуатационной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среды.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uk-UA"/>
        </w:rPr>
      </w:pPr>
      <w:r w:rsidRPr="0049780B">
        <w:rPr>
          <w:bCs/>
          <w:snapToGrid w:val="0"/>
          <w:szCs w:val="24"/>
          <w:lang w:val="uk-UA"/>
        </w:rPr>
        <w:t>Ключевые</w:t>
      </w:r>
      <w:r w:rsidR="0049780B">
        <w:rPr>
          <w:bCs/>
          <w:snapToGrid w:val="0"/>
          <w:szCs w:val="24"/>
          <w:lang w:val="uk-UA"/>
        </w:rPr>
        <w:t xml:space="preserve"> </w:t>
      </w:r>
      <w:r w:rsidRPr="0049780B">
        <w:rPr>
          <w:bCs/>
          <w:snapToGrid w:val="0"/>
          <w:szCs w:val="24"/>
          <w:lang w:val="uk-UA"/>
        </w:rPr>
        <w:t>слова:</w:t>
      </w:r>
      <w:r w:rsidR="0049780B">
        <w:rPr>
          <w:bCs/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стальные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конструкции,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защитные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покрытия,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коррозионная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стойкость,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долговечность,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ремонтопригодность,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технологическая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безопасность,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уровень</w:t>
      </w:r>
      <w:r w:rsidR="0049780B">
        <w:rPr>
          <w:snapToGrid w:val="0"/>
          <w:szCs w:val="24"/>
          <w:lang w:val="uk-UA"/>
        </w:rPr>
        <w:t xml:space="preserve"> </w:t>
      </w:r>
      <w:r w:rsidRPr="0049780B">
        <w:rPr>
          <w:snapToGrid w:val="0"/>
          <w:szCs w:val="24"/>
          <w:lang w:val="uk-UA"/>
        </w:rPr>
        <w:t>риска.</w:t>
      </w:r>
    </w:p>
    <w:p w:rsidR="00410D75" w:rsidRPr="0049780B" w:rsidRDefault="0049780B" w:rsidP="0049780B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spacing w:val="0"/>
          <w:szCs w:val="24"/>
          <w:lang w:val="uk-UA"/>
        </w:rPr>
      </w:pPr>
      <w:r>
        <w:rPr>
          <w:rFonts w:ascii="Times New Roman" w:hAnsi="Times New Roman" w:cs="Times New Roman"/>
          <w:b w:val="0"/>
          <w:spacing w:val="0"/>
          <w:szCs w:val="24"/>
          <w:lang w:val="uk-UA"/>
        </w:rPr>
        <w:br w:type="page"/>
      </w:r>
      <w:r w:rsidR="00410D75" w:rsidRPr="0049780B">
        <w:rPr>
          <w:rFonts w:ascii="Times New Roman" w:hAnsi="Times New Roman" w:cs="Times New Roman"/>
          <w:spacing w:val="0"/>
          <w:szCs w:val="24"/>
          <w:lang w:val="uk-UA"/>
        </w:rPr>
        <w:t>SUMMARY</w:t>
      </w:r>
    </w:p>
    <w:p w:rsidR="0049780B" w:rsidRDefault="0049780B" w:rsidP="0049780B">
      <w:pPr>
        <w:pStyle w:val="a3"/>
        <w:spacing w:line="360" w:lineRule="auto"/>
        <w:ind w:firstLine="709"/>
        <w:rPr>
          <w:szCs w:val="24"/>
          <w:lang w:val="uk-UA"/>
        </w:rPr>
      </w:pP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en-GB"/>
        </w:rPr>
      </w:pPr>
      <w:r w:rsidRPr="0049780B">
        <w:rPr>
          <w:szCs w:val="24"/>
          <w:lang w:val="en-GB"/>
        </w:rPr>
        <w:t>Filatov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Y.V.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Techological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safety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and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prolongation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of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steel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structure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life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in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corrosive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environment.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–Manuscript.</w:t>
      </w:r>
    </w:p>
    <w:p w:rsidR="00410D75" w:rsidRPr="0049780B" w:rsidRDefault="00410D75" w:rsidP="0049780B">
      <w:pPr>
        <w:pStyle w:val="a3"/>
        <w:spacing w:line="360" w:lineRule="auto"/>
        <w:ind w:firstLine="709"/>
        <w:rPr>
          <w:szCs w:val="24"/>
          <w:lang w:val="en-US"/>
        </w:rPr>
      </w:pPr>
      <w:r w:rsidRPr="0049780B">
        <w:rPr>
          <w:szCs w:val="24"/>
          <w:lang w:val="en-US"/>
        </w:rPr>
        <w:t>The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thesis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en-US"/>
        </w:rPr>
        <w:t>for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taking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the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scientific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degree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en-US"/>
        </w:rPr>
        <w:t>of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Сandidate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of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Technical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Science</w:t>
      </w:r>
      <w:r w:rsidRPr="0049780B">
        <w:rPr>
          <w:szCs w:val="24"/>
          <w:lang w:val="en-US"/>
        </w:rPr>
        <w:t>s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in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special</w:t>
      </w:r>
      <w:r w:rsidRPr="0049780B">
        <w:rPr>
          <w:szCs w:val="24"/>
          <w:lang w:val="en-US"/>
        </w:rPr>
        <w:t>i</w:t>
      </w:r>
      <w:r w:rsidRPr="0049780B">
        <w:rPr>
          <w:szCs w:val="24"/>
          <w:lang w:val="uk-UA"/>
        </w:rPr>
        <w:t>ty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05.23.01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-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Building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Construction,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Building</w:t>
      </w:r>
      <w:r w:rsidRPr="0049780B">
        <w:rPr>
          <w:szCs w:val="24"/>
          <w:lang w:val="en-US"/>
        </w:rPr>
        <w:t>s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and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Structures.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uk-UA"/>
        </w:rPr>
        <w:t>/</w:t>
      </w:r>
      <w:r w:rsidR="0049780B">
        <w:rPr>
          <w:szCs w:val="24"/>
          <w:lang w:val="uk-UA"/>
        </w:rPr>
        <w:t xml:space="preserve"> </w:t>
      </w:r>
      <w:r w:rsidRPr="0049780B">
        <w:rPr>
          <w:szCs w:val="24"/>
          <w:lang w:val="en-GB"/>
        </w:rPr>
        <w:t>Open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Joint-Stock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Company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V.Shimanovsky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Ukrainian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Research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and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Design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Institute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of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Steel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Construction.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-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Kiev,</w:t>
      </w:r>
      <w:r w:rsidR="0049780B">
        <w:rPr>
          <w:szCs w:val="24"/>
          <w:lang w:val="en-GB"/>
        </w:rPr>
        <w:t xml:space="preserve"> </w:t>
      </w:r>
      <w:r w:rsidRPr="0049780B">
        <w:rPr>
          <w:szCs w:val="24"/>
          <w:lang w:val="en-GB"/>
        </w:rPr>
        <w:t>2008.</w:t>
      </w:r>
    </w:p>
    <w:p w:rsidR="00410D75" w:rsidRPr="0049780B" w:rsidRDefault="00410D75" w:rsidP="00497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uk-UA"/>
        </w:rPr>
      </w:pP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Results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theoretical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experimental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researches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corrosion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state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steel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constructions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their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coatings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presented.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basis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approaches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limiting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state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method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indices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technological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safety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building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construction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structures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process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use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justified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according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to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observed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condition.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procedure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risk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level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registration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estimation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design-experimental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estimation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maintainability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steel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structures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corrosion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environments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was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developed.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accelerated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environmental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corrosion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tests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were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carried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out,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design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models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in-use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indices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monitoring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were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proposed,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steel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structure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availability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factor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were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specified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for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examined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types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protective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coating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systems.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estimation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maintainability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postrepair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carrying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capacity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were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made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basis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steel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structure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corrosion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resistance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durability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calculation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according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to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the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limiting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states.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Economic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efficiency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management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technological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safety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indices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for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realization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programs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reliability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assurance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and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prolongation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steel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structure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life,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decrease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of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industrial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facility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risk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level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is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shown.</w:t>
      </w:r>
    </w:p>
    <w:p w:rsidR="00410D75" w:rsidRPr="0049780B" w:rsidRDefault="00410D75" w:rsidP="004978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pacing w:val="0"/>
          <w:szCs w:val="24"/>
          <w:lang w:val="en-US"/>
        </w:rPr>
      </w:pPr>
      <w:r w:rsidRPr="0049780B">
        <w:rPr>
          <w:rFonts w:ascii="Times New Roman" w:hAnsi="Times New Roman" w:cs="Times New Roman"/>
          <w:b w:val="0"/>
          <w:spacing w:val="0"/>
          <w:szCs w:val="24"/>
          <w:lang w:val="en-GB"/>
        </w:rPr>
        <w:t>Keywords: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steel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structures,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protective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coatings,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corrosion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resistance,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durability,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maintainability,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technological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safety,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risk</w:t>
      </w:r>
      <w:r w:rsid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 xml:space="preserve"> 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GB"/>
        </w:rPr>
        <w:t>level</w:t>
      </w:r>
      <w:r w:rsidRPr="0049780B">
        <w:rPr>
          <w:rFonts w:ascii="Times New Roman" w:hAnsi="Times New Roman" w:cs="Times New Roman"/>
          <w:b w:val="0"/>
          <w:bCs w:val="0"/>
          <w:spacing w:val="0"/>
          <w:szCs w:val="24"/>
          <w:lang w:val="en-US"/>
        </w:rPr>
        <w:t>.</w:t>
      </w:r>
      <w:bookmarkStart w:id="0" w:name="_GoBack"/>
      <w:bookmarkEnd w:id="0"/>
    </w:p>
    <w:sectPr w:rsidR="00410D75" w:rsidRPr="0049780B" w:rsidSect="0049780B"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FD" w:rsidRDefault="001208FD">
      <w:r>
        <w:separator/>
      </w:r>
    </w:p>
  </w:endnote>
  <w:endnote w:type="continuationSeparator" w:id="0">
    <w:p w:rsidR="001208FD" w:rsidRDefault="0012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FD" w:rsidRDefault="001208FD">
      <w:r>
        <w:separator/>
      </w:r>
    </w:p>
  </w:footnote>
  <w:footnote w:type="continuationSeparator" w:id="0">
    <w:p w:rsidR="001208FD" w:rsidRDefault="0012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54270"/>
    <w:multiLevelType w:val="hybridMultilevel"/>
    <w:tmpl w:val="0394AF7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330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4611047"/>
    <w:multiLevelType w:val="hybridMultilevel"/>
    <w:tmpl w:val="58BED4A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CE25E0"/>
    <w:multiLevelType w:val="hybridMultilevel"/>
    <w:tmpl w:val="D85A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8D6AA7"/>
    <w:multiLevelType w:val="singleLevel"/>
    <w:tmpl w:val="89C016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DDB0724"/>
    <w:multiLevelType w:val="hybridMultilevel"/>
    <w:tmpl w:val="48681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FE5474"/>
    <w:multiLevelType w:val="singleLevel"/>
    <w:tmpl w:val="89C016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AC57F67"/>
    <w:multiLevelType w:val="singleLevel"/>
    <w:tmpl w:val="89C016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D9270C3"/>
    <w:multiLevelType w:val="singleLevel"/>
    <w:tmpl w:val="89C016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E372A81"/>
    <w:multiLevelType w:val="singleLevel"/>
    <w:tmpl w:val="89C016F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E5F"/>
    <w:rsid w:val="000D1E5F"/>
    <w:rsid w:val="001208FD"/>
    <w:rsid w:val="001C2146"/>
    <w:rsid w:val="00410D75"/>
    <w:rsid w:val="004639C6"/>
    <w:rsid w:val="00496571"/>
    <w:rsid w:val="0049780B"/>
    <w:rsid w:val="005E3929"/>
    <w:rsid w:val="005F15DF"/>
    <w:rsid w:val="006205FF"/>
    <w:rsid w:val="007A6EB9"/>
    <w:rsid w:val="00C05388"/>
    <w:rsid w:val="00C157A7"/>
    <w:rsid w:val="00C73A31"/>
    <w:rsid w:val="00D65B60"/>
    <w:rsid w:val="00EB7718"/>
    <w:rsid w:val="00F13815"/>
    <w:rsid w:val="00FB2026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9669C85F-8533-4663-B747-55037E04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ernhardMod BT" w:hAnsi="BernhardMod BT" w:cs="BernhardMod BT"/>
      <w:b/>
      <w:bCs/>
      <w:spacing w:val="-6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Times New Roman" w:hAnsi="Times New Roman" w:cs="Times New Roman"/>
      <w:b w:val="0"/>
      <w:bCs w:val="0"/>
      <w:spacing w:val="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rFonts w:ascii="Times New Roman" w:hAnsi="Times New Roman" w:cs="Times New Roman"/>
      <w:b w:val="0"/>
      <w:bCs w:val="0"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spacing w:val="-6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pacing w:val="-6"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jc w:val="center"/>
    </w:pPr>
    <w:rPr>
      <w:rFonts w:ascii="Times New Roman" w:hAnsi="Times New Roman" w:cs="Times New Roman"/>
      <w:b w:val="0"/>
      <w:bCs w:val="0"/>
      <w:spacing w:val="0"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BernhardMod BT" w:hAnsi="BernhardMod BT" w:cs="BernhardMod BT"/>
      <w:b/>
      <w:bCs/>
      <w:spacing w:val="-6"/>
      <w:sz w:val="28"/>
      <w:szCs w:val="28"/>
    </w:rPr>
  </w:style>
  <w:style w:type="paragraph" w:customStyle="1" w:styleId="a3">
    <w:name w:val="Основной автореферат"/>
    <w:basedOn w:val="a"/>
    <w:uiPriority w:val="99"/>
    <w:pPr>
      <w:ind w:firstLine="720"/>
      <w:jc w:val="both"/>
    </w:pPr>
    <w:rPr>
      <w:rFonts w:ascii="Times New Roman" w:hAnsi="Times New Roman" w:cs="Times New Roman"/>
      <w:b w:val="0"/>
      <w:bCs w:val="0"/>
      <w:spacing w:val="0"/>
    </w:rPr>
  </w:style>
  <w:style w:type="paragraph" w:customStyle="1" w:styleId="a4">
    <w:name w:val="Рисунки"/>
    <w:basedOn w:val="a3"/>
    <w:uiPriority w:val="99"/>
    <w:pPr>
      <w:ind w:firstLine="0"/>
      <w:jc w:val="center"/>
    </w:pPr>
    <w:rPr>
      <w:i/>
      <w:i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b w:val="0"/>
      <w:bCs w:val="0"/>
      <w:spacing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b/>
      <w:bCs/>
      <w:spacing w:val="-6"/>
      <w:sz w:val="20"/>
      <w:szCs w:val="20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Times New Roman" w:hAnsi="Times New Roman" w:cs="Times New Roman"/>
      <w:b w:val="0"/>
      <w:bCs w:val="0"/>
      <w:smallCaps/>
      <w:spacing w:val="0"/>
    </w:rPr>
  </w:style>
  <w:style w:type="character" w:customStyle="1" w:styleId="a6">
    <w:name w:val="Основной текст Знак"/>
    <w:link w:val="a5"/>
    <w:uiPriority w:val="99"/>
    <w:semiHidden/>
    <w:locked/>
    <w:rPr>
      <w:rFonts w:ascii="BernhardMod BT" w:hAnsi="BernhardMod BT" w:cs="BernhardMod BT"/>
      <w:b/>
      <w:bCs/>
      <w:spacing w:val="-6"/>
      <w:sz w:val="28"/>
      <w:szCs w:val="28"/>
    </w:rPr>
  </w:style>
  <w:style w:type="character" w:styleId="a7">
    <w:name w:val="annotation reference"/>
    <w:uiPriority w:val="99"/>
    <w:semiHidden/>
    <w:rPr>
      <w:rFonts w:cs="Times New Roman"/>
      <w:sz w:val="16"/>
      <w:szCs w:val="16"/>
    </w:rPr>
  </w:style>
  <w:style w:type="paragraph" w:customStyle="1" w:styleId="a8">
    <w:name w:val="Таблицы"/>
    <w:basedOn w:val="a3"/>
    <w:uiPriority w:val="99"/>
    <w:pPr>
      <w:jc w:val="right"/>
    </w:pPr>
  </w:style>
  <w:style w:type="paragraph" w:styleId="a9">
    <w:name w:val="Body Text Indent"/>
    <w:basedOn w:val="a"/>
    <w:link w:val="aa"/>
    <w:uiPriority w:val="99"/>
    <w:pPr>
      <w:ind w:firstLine="540"/>
    </w:pPr>
    <w:rPr>
      <w:rFonts w:ascii="Times New Roman" w:hAnsi="Times New Roman" w:cs="Times New Roman"/>
      <w:b w:val="0"/>
      <w:bCs w:val="0"/>
      <w:spacing w:val="0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ascii="BernhardMod BT" w:hAnsi="BernhardMod BT" w:cs="BernhardMod BT"/>
      <w:b/>
      <w:bCs/>
      <w:spacing w:val="-6"/>
      <w:sz w:val="28"/>
      <w:szCs w:val="28"/>
    </w:rPr>
  </w:style>
  <w:style w:type="paragraph" w:customStyle="1" w:styleId="ab">
    <w:name w:val="Таблица"/>
    <w:basedOn w:val="a"/>
    <w:uiPriority w:val="99"/>
    <w:pPr>
      <w:widowControl w:val="0"/>
      <w:spacing w:line="360" w:lineRule="auto"/>
      <w:jc w:val="right"/>
    </w:pPr>
    <w:rPr>
      <w:rFonts w:ascii="Times New Roman" w:hAnsi="Times New Roman" w:cs="Times New Roman"/>
      <w:b w:val="0"/>
      <w:bCs w:val="0"/>
      <w:noProof/>
      <w:spacing w:val="0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color w:val="000000"/>
      <w:spacing w:val="0"/>
      <w:sz w:val="24"/>
      <w:szCs w:val="24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 w:cs="Times New Roman"/>
      <w:b w:val="0"/>
      <w:bCs w:val="0"/>
      <w:spacing w:val="0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BernhardMod BT" w:hAnsi="BernhardMod BT" w:cs="BernhardMod BT"/>
      <w:b/>
      <w:bCs/>
      <w:spacing w:val="-6"/>
      <w:sz w:val="28"/>
      <w:szCs w:val="28"/>
    </w:rPr>
  </w:style>
  <w:style w:type="paragraph" w:styleId="3">
    <w:name w:val="Body Text Indent 3"/>
    <w:basedOn w:val="a"/>
    <w:link w:val="30"/>
    <w:uiPriority w:val="99"/>
    <w:pPr>
      <w:spacing w:line="360" w:lineRule="auto"/>
      <w:ind w:left="1134" w:firstLine="851"/>
      <w:jc w:val="both"/>
    </w:pPr>
    <w:rPr>
      <w:rFonts w:ascii="Times New Roman" w:hAnsi="Times New Roman" w:cs="Times New Roman"/>
      <w:b w:val="0"/>
      <w:bCs w:val="0"/>
      <w:spacing w:val="0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ascii="BernhardMod BT" w:hAnsi="BernhardMod BT" w:cs="BernhardMod BT"/>
      <w:b/>
      <w:bCs/>
      <w:spacing w:val="-6"/>
      <w:sz w:val="16"/>
      <w:szCs w:val="16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Pr>
      <w:rFonts w:ascii="BernhardMod BT" w:hAnsi="BernhardMod BT" w:cs="BernhardMod BT"/>
      <w:b/>
      <w:bCs/>
      <w:spacing w:val="-6"/>
      <w:sz w:val="28"/>
      <w:szCs w:val="28"/>
    </w:rPr>
  </w:style>
  <w:style w:type="character" w:styleId="af">
    <w:name w:val="page number"/>
    <w:uiPriority w:val="99"/>
    <w:rPr>
      <w:rFonts w:cs="Times New Roman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Pr>
      <w:rFonts w:ascii="BernhardMod BT" w:hAnsi="BernhardMod BT" w:cs="BernhardMod BT"/>
      <w:b/>
      <w:bCs/>
      <w:spacing w:val="-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7139</Words>
  <Characters>40697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«УКРНИИПРОЕКТСТАЛЬКОНСТРУКЦИЯ</vt:lpstr>
    </vt:vector>
  </TitlesOfParts>
  <Company/>
  <LinksUpToDate>false</LinksUpToDate>
  <CharactersWithSpaces>47741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«УКРНИИПРОЕКТСТАЛЬКОНСТРУКЦИЯ</dc:title>
  <dc:subject/>
  <dc:creator>Korolyov</dc:creator>
  <cp:keywords/>
  <dc:description/>
  <cp:lastModifiedBy>admin</cp:lastModifiedBy>
  <cp:revision>2</cp:revision>
  <cp:lastPrinted>2008-05-16T11:05:00Z</cp:lastPrinted>
  <dcterms:created xsi:type="dcterms:W3CDTF">2014-03-09T13:25:00Z</dcterms:created>
  <dcterms:modified xsi:type="dcterms:W3CDTF">2014-03-09T13:25:00Z</dcterms:modified>
</cp:coreProperties>
</file>