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A94" w:rsidRDefault="007366D6">
      <w:pPr>
        <w:widowControl w:val="0"/>
        <w:spacing w:before="120"/>
        <w:jc w:val="center"/>
        <w:rPr>
          <w:b/>
          <w:bCs/>
          <w:color w:val="000000"/>
          <w:sz w:val="32"/>
          <w:szCs w:val="32"/>
        </w:rPr>
      </w:pPr>
      <w:r>
        <w:rPr>
          <w:b/>
          <w:bCs/>
          <w:color w:val="000000"/>
          <w:sz w:val="32"/>
          <w:szCs w:val="32"/>
        </w:rPr>
        <w:t>Экономическое положение на Украине (финансовый аспект)</w:t>
      </w:r>
    </w:p>
    <w:p w:rsidR="000A7A94" w:rsidRDefault="007366D6">
      <w:pPr>
        <w:widowControl w:val="0"/>
        <w:spacing w:before="120"/>
        <w:ind w:firstLine="567"/>
        <w:jc w:val="both"/>
        <w:rPr>
          <w:color w:val="000000"/>
          <w:sz w:val="24"/>
          <w:szCs w:val="24"/>
        </w:rPr>
      </w:pPr>
      <w:r>
        <w:rPr>
          <w:color w:val="000000"/>
          <w:sz w:val="24"/>
          <w:szCs w:val="24"/>
        </w:rPr>
        <w:t>Как и предполагали многие московские аналитики, в прошедшем финансовом году финансово-экономическая ситуация на Украине характеризовалась (в некоторых случаях резким, в других – более плавным) снижением всех финансовых показателей.</w:t>
      </w:r>
    </w:p>
    <w:p w:rsidR="000A7A94" w:rsidRDefault="007366D6">
      <w:pPr>
        <w:widowControl w:val="0"/>
        <w:spacing w:before="120"/>
        <w:ind w:firstLine="567"/>
        <w:jc w:val="both"/>
        <w:rPr>
          <w:color w:val="000000"/>
          <w:sz w:val="24"/>
          <w:szCs w:val="24"/>
        </w:rPr>
      </w:pPr>
      <w:r>
        <w:rPr>
          <w:color w:val="000000"/>
          <w:sz w:val="24"/>
          <w:szCs w:val="24"/>
        </w:rPr>
        <w:t>Так, по данным Центрального Банка Украины, на протяжении только двух «предвыборных» месяцев (июль-август) 1999 года девальвация гривны составила 30%, в результате чего курс национальной валюты вышел за границы валютного коридора. По прогнозам финансистов, работающих как на украинском, так и на российском финансовых рынках, общий обвал гривны в предстоящий период по сравнению с состоянием на период августа 1999 года должен был составить 40%, что, продолжает оставаться актуальным.</w:t>
      </w:r>
    </w:p>
    <w:p w:rsidR="000A7A94" w:rsidRDefault="007366D6">
      <w:pPr>
        <w:widowControl w:val="0"/>
        <w:spacing w:before="120"/>
        <w:ind w:firstLine="567"/>
        <w:jc w:val="both"/>
        <w:rPr>
          <w:color w:val="000000"/>
          <w:sz w:val="24"/>
          <w:szCs w:val="24"/>
        </w:rPr>
      </w:pPr>
      <w:r>
        <w:rPr>
          <w:color w:val="000000"/>
          <w:sz w:val="24"/>
          <w:szCs w:val="24"/>
        </w:rPr>
        <w:t>И дело здесь в следующем. После августовского кризиса 1999 года в России, украинская гривна оказалась сильно недевальвированной по отношению к российскому рублю: рубль упал вчетверо, а гривна только вдвое. За это же время украинский экспорт в Россию (а это больше 60 % всего экспорта) сократился на 48%. При «тяжелой» гривне украинские товары перестали быть конкурентно-способными на российском рынке, на котором – в тоже время -представлены практически все производства, составляющие основу украинской экономики. В итоге, украинские финансово-промышленные группы, получившие в свое распоряжение пакеты акций предприятий-экспортеров, оказались кровно заинтересованными в серьезной девальвации украинской гривны для того, чтобы обеспечить успешный экспорт в Россию украинских товаров. Между тем, лоббирование девальвации гривны оказалось необходимым для указанных предприятий не только по «экспортным», но и по «приватизационным» соображениям, поскольку в ходе указанной девальвации с неизбежностью нивелировались околоинвестиционные обязательства предприятий, которые, согласно украинскому «Закону о приватизации», они были вынуждены брать на себя в период «передачи акций в управление на тендере». Еще один аспект указанной проблемы заключается в том, что на предвыборную кампанию Л.Д. Кучмы, для проведения необходимого Президенту референдума по изменению Конституции Украины, украинским правящем классом были затрачены огромные средства, по некоторым данным сопоставимые с 2/3 национального дохода. После победы Кучмы эти средства оказалось необходимым восполнить. Иных источников пополнения национального бюджета помимо внешних заимствований у Украины нет. Поэтому единственным выходом для правящей элиты «свести баланс в финансовой сфере» является девальвация национальной валюты. И то обстоятельство, что оглушительного обвала гривны до сих пор не произошло, свидетельствует только о том, что предстоящая девальвация гривны окажется еще более грандиозной, нежели прогнозировали российские аналитики и повлечет за собой еще более тяжелые социальные последствия.</w:t>
      </w:r>
    </w:p>
    <w:p w:rsidR="000A7A94" w:rsidRDefault="007366D6">
      <w:pPr>
        <w:widowControl w:val="0"/>
        <w:spacing w:before="120"/>
        <w:ind w:firstLine="567"/>
        <w:jc w:val="both"/>
        <w:rPr>
          <w:color w:val="000000"/>
          <w:sz w:val="24"/>
          <w:szCs w:val="24"/>
        </w:rPr>
      </w:pPr>
      <w:r>
        <w:rPr>
          <w:color w:val="000000"/>
          <w:sz w:val="24"/>
          <w:szCs w:val="24"/>
        </w:rPr>
        <w:t>Далее. В 2000 году выплаты по внешнему долгу Украины составили 1,4 млрд. долл., при том, что золотовалютные резервы Национального банка по его собственным данным составляют 1, 5 млрд. По словам бывшего вице-премьера Украины В. Пинзеника, в 2000 году «по внешним и внутренним долгам Украине необходимо будет выплатить более 4 млрд. долл., каковая сумма превышает всю доходную часть бюджета страны и валютные резервы Национального банка.</w:t>
      </w:r>
    </w:p>
    <w:p w:rsidR="000A7A94" w:rsidRDefault="007366D6">
      <w:pPr>
        <w:widowControl w:val="0"/>
        <w:spacing w:before="120"/>
        <w:ind w:firstLine="567"/>
        <w:jc w:val="both"/>
        <w:rPr>
          <w:color w:val="000000"/>
          <w:sz w:val="24"/>
          <w:szCs w:val="24"/>
        </w:rPr>
      </w:pPr>
      <w:r>
        <w:rPr>
          <w:color w:val="000000"/>
          <w:sz w:val="24"/>
          <w:szCs w:val="24"/>
        </w:rPr>
        <w:t>Кроме того, на протяжении двух последних лет отток капитала из Украины происходит все более ускоряющими темпами. Так, скажем, только в третьем квартале 1999 года этот отток составил 18% от общих потребностей страны во внешнем финансировании (около 200 млн. долл. США), о чем, в частности, свидетельствует снижение среднемесячного оборота обменных пунктов в 10 раз в сравнении с прошлым годом.</w:t>
      </w:r>
    </w:p>
    <w:p w:rsidR="000A7A94" w:rsidRDefault="007366D6">
      <w:pPr>
        <w:widowControl w:val="0"/>
        <w:spacing w:before="120"/>
        <w:ind w:firstLine="567"/>
        <w:jc w:val="both"/>
        <w:rPr>
          <w:color w:val="000000"/>
          <w:sz w:val="24"/>
          <w:szCs w:val="24"/>
        </w:rPr>
      </w:pPr>
      <w:r>
        <w:rPr>
          <w:color w:val="000000"/>
          <w:sz w:val="24"/>
          <w:szCs w:val="24"/>
        </w:rPr>
        <w:t>В этот же период на 175 млн. долл. США выросла задолженность нерезидентов перед государственными органами Украины за импортированные товары и услуги. Одновременно увеличился размер внешнего долга Украины. Так, прирост кредиторской задолженности в указанные период составил 117 млн. долл. США, основную часть которой составили долги за энергоносители. На 147 млн. долл. США выросла задолженность по краткосрочным кредитам, выданным резидентами страны.</w:t>
      </w:r>
    </w:p>
    <w:p w:rsidR="000A7A94" w:rsidRDefault="007366D6">
      <w:pPr>
        <w:widowControl w:val="0"/>
        <w:spacing w:before="120"/>
        <w:ind w:firstLine="567"/>
        <w:jc w:val="both"/>
        <w:rPr>
          <w:color w:val="000000"/>
          <w:sz w:val="24"/>
          <w:szCs w:val="24"/>
        </w:rPr>
      </w:pPr>
      <w:r>
        <w:rPr>
          <w:color w:val="000000"/>
          <w:sz w:val="24"/>
          <w:szCs w:val="24"/>
        </w:rPr>
        <w:t>За третий квартал 1999 года было использовано долгосрочных кредитов на сумму 726 млн. долл. США, большую часть из которых, составили кредиты МВФ по программе расширенного финансирования и Международного банка по программе развития предприятий. 34% от общих потребностей во внешнем финансировании было удовлетворено за счет безоплатных поступлений и инвестиций.</w:t>
      </w:r>
    </w:p>
    <w:p w:rsidR="000A7A94" w:rsidRDefault="007366D6">
      <w:pPr>
        <w:widowControl w:val="0"/>
        <w:spacing w:before="120"/>
        <w:ind w:firstLine="567"/>
        <w:jc w:val="both"/>
        <w:rPr>
          <w:color w:val="000000"/>
          <w:sz w:val="24"/>
          <w:szCs w:val="24"/>
        </w:rPr>
      </w:pPr>
      <w:r>
        <w:rPr>
          <w:color w:val="000000"/>
          <w:sz w:val="24"/>
          <w:szCs w:val="24"/>
        </w:rPr>
        <w:t>Здесь следует специально отметить, что наибольшие по объему инвестиции вкладывались в экономику Украины нерезидентами из Соединенных Штатов Америки – 571 млн. долл. США (18, 3% от общего объема инвестиций), нерезидентами из Нидерландов – 298 млн. долл. США (7,?%), Российской Федерации – 288 млн. долл. США (9,2%), Германии – 241 млн. долл. США (7,7%), Великобритании – 238 млн. долл. США (7,8%). Инвестиции из офшорных зон (Кипр, Виргинские острова (Великобритания), Лихтенштейн) составили 12%.</w:t>
      </w:r>
    </w:p>
    <w:p w:rsidR="000A7A94" w:rsidRDefault="007366D6">
      <w:pPr>
        <w:widowControl w:val="0"/>
        <w:spacing w:before="120"/>
        <w:ind w:firstLine="567"/>
        <w:jc w:val="both"/>
        <w:rPr>
          <w:color w:val="000000"/>
          <w:sz w:val="24"/>
          <w:szCs w:val="24"/>
        </w:rPr>
      </w:pPr>
      <w:r>
        <w:rPr>
          <w:color w:val="000000"/>
          <w:sz w:val="24"/>
          <w:szCs w:val="24"/>
        </w:rPr>
        <w:t>Таким образом, современное финансовое положение Украины можно охарактеризовать, как абсолютную зависимость от стран-кредиторов и, главным образом, стран Западного мира.</w:t>
      </w:r>
    </w:p>
    <w:p w:rsidR="000A7A94" w:rsidRDefault="007366D6">
      <w:pPr>
        <w:widowControl w:val="0"/>
        <w:spacing w:before="120"/>
        <w:ind w:firstLine="567"/>
        <w:jc w:val="both"/>
        <w:rPr>
          <w:color w:val="000000"/>
          <w:sz w:val="24"/>
          <w:szCs w:val="24"/>
        </w:rPr>
      </w:pPr>
      <w:r>
        <w:rPr>
          <w:color w:val="000000"/>
          <w:sz w:val="24"/>
          <w:szCs w:val="24"/>
        </w:rPr>
        <w:t>С другой стороны, в третьем квартале 1999 года из Украины в мировую экономику по официальным каналам было направлено около 1 млн. долл. США. Между тем, по положению на период до 01.10.1999 года, общие объемы прямых инвестиций из Украины в экономику других стран составили 99.3 млн. долл. США, в том числе в страны СНГ и Балтии – 18,8 млн. долл. США (18, 9% от общего объема), а в другие страны мира – 80, 5 млн. долл. США (81,1%). Все это со всей очевидностью свидетельствует о все расширяющихся масштабах «бегства капитала» из страны.</w:t>
      </w:r>
    </w:p>
    <w:p w:rsidR="000A7A94" w:rsidRDefault="007366D6">
      <w:pPr>
        <w:widowControl w:val="0"/>
        <w:spacing w:before="120"/>
        <w:ind w:firstLine="567"/>
        <w:jc w:val="both"/>
        <w:rPr>
          <w:color w:val="000000"/>
          <w:sz w:val="24"/>
          <w:szCs w:val="24"/>
        </w:rPr>
      </w:pPr>
      <w:r>
        <w:rPr>
          <w:color w:val="000000"/>
          <w:sz w:val="24"/>
          <w:szCs w:val="24"/>
        </w:rPr>
        <w:t>Наряду с этим, следует также отметить существенную зависимость страны от импортных товаров. К настоящему времени она составляет 42% от общего объема товаров и услуг. При этом, основной статьей импорта Украины является продукция топливно-энергетического комплекса (41,3% от общего объема импорта товаров), а основной статьей экспорта – черные и цветные металлы и изготовленная из них продукция (41,1% от общего объема экспорта товаров).</w:t>
      </w:r>
    </w:p>
    <w:p w:rsidR="000A7A94" w:rsidRDefault="007366D6">
      <w:pPr>
        <w:widowControl w:val="0"/>
        <w:spacing w:before="120"/>
        <w:ind w:firstLine="567"/>
        <w:jc w:val="both"/>
        <w:rPr>
          <w:color w:val="000000"/>
          <w:sz w:val="24"/>
          <w:szCs w:val="24"/>
        </w:rPr>
      </w:pPr>
      <w:r>
        <w:rPr>
          <w:color w:val="000000"/>
          <w:sz w:val="24"/>
          <w:szCs w:val="24"/>
        </w:rPr>
        <w:t>При чем, экспортные поставки черных металлов и изготовленной из них продукции уменьшились в указанный период на 4%, в том числе в страны СНГ и Балтии – на 27 %. Продукция металлургии и химической промышленности, которые составляют больше половины экспортного потенциала Украины, по признанию Центрального банка страны «продолжает утрачивать свои позиции». Что обусловлено разрушением промышленного потенциала ведущих промышленных регионов страны и, прежде всего, Донбасса.</w:t>
      </w:r>
    </w:p>
    <w:p w:rsidR="000A7A94" w:rsidRDefault="007366D6">
      <w:pPr>
        <w:widowControl w:val="0"/>
        <w:spacing w:before="120"/>
        <w:ind w:firstLine="567"/>
        <w:jc w:val="both"/>
        <w:rPr>
          <w:color w:val="000000"/>
          <w:sz w:val="24"/>
          <w:szCs w:val="24"/>
        </w:rPr>
      </w:pPr>
      <w:r>
        <w:rPr>
          <w:color w:val="000000"/>
          <w:sz w:val="24"/>
          <w:szCs w:val="24"/>
        </w:rPr>
        <w:t>Далее. По мнению ряда украинских экспертов, доля теневой экономики в этой стране составляет от 50% до 70% валового национального продукта. По данным Налоговой службы Украины, в 1998 году через счета 2,7 тыс. фиктивных фирм было обналичено от 13,5 млрд грн. до 15 млрд грн., а за восемь месяцев 1999 года через счета 3300 фиктивных фирм прошло от 16,5 млрд грн. до 18 млрд грн. (Так, поданным ГНАУ, в 1997 году только в Киеве через счета «конвертационных» фирм прошло около 3,2 млрд грн. Для сравнения — бюджет города в том же 97-м составлял 3,5 млрд грн.).</w:t>
      </w:r>
    </w:p>
    <w:p w:rsidR="000A7A94" w:rsidRDefault="007366D6">
      <w:pPr>
        <w:widowControl w:val="0"/>
        <w:spacing w:before="120"/>
        <w:ind w:firstLine="567"/>
        <w:jc w:val="both"/>
        <w:rPr>
          <w:color w:val="000000"/>
          <w:sz w:val="24"/>
          <w:szCs w:val="24"/>
        </w:rPr>
      </w:pPr>
      <w:r>
        <w:rPr>
          <w:color w:val="000000"/>
          <w:sz w:val="24"/>
          <w:szCs w:val="24"/>
        </w:rPr>
        <w:t>И все это - понятно - весьма приблизительные цифры, ибо реальное количество фиктивных фирм официальному учету не поддается.</w:t>
      </w:r>
    </w:p>
    <w:p w:rsidR="000A7A94" w:rsidRDefault="007366D6">
      <w:pPr>
        <w:widowControl w:val="0"/>
        <w:spacing w:before="120"/>
        <w:ind w:firstLine="567"/>
        <w:jc w:val="both"/>
        <w:rPr>
          <w:color w:val="000000"/>
          <w:sz w:val="24"/>
          <w:szCs w:val="24"/>
        </w:rPr>
      </w:pPr>
      <w:r>
        <w:rPr>
          <w:color w:val="000000"/>
          <w:sz w:val="24"/>
          <w:szCs w:val="24"/>
        </w:rPr>
        <w:t>Перманентно ухудшающееся состояние финансов Украины многими украинскими аналитиками объясняется отсутствием в стране наличных денег. Между тем, по сведениям Госкомстата, за последние восемь лет общий объем непродуктивного потребления на Украине вырос, в «крайних» своих проявлениях, до 26,06%.</w:t>
      </w:r>
    </w:p>
    <w:p w:rsidR="000A7A94" w:rsidRDefault="007366D6">
      <w:pPr>
        <w:widowControl w:val="0"/>
        <w:spacing w:before="120"/>
        <w:ind w:firstLine="567"/>
        <w:jc w:val="both"/>
        <w:rPr>
          <w:color w:val="000000"/>
          <w:sz w:val="24"/>
          <w:szCs w:val="24"/>
        </w:rPr>
      </w:pPr>
      <w:r>
        <w:rPr>
          <w:color w:val="000000"/>
          <w:sz w:val="24"/>
          <w:szCs w:val="24"/>
        </w:rPr>
        <w:t>Так, скажем, непроизводственное потребление на Украине выросло - от 19,16% ВВП в 1990 году до 26,06% — в 1998 году;</w:t>
      </w:r>
    </w:p>
    <w:p w:rsidR="000A7A94" w:rsidRDefault="007366D6">
      <w:pPr>
        <w:widowControl w:val="0"/>
        <w:spacing w:before="120"/>
        <w:ind w:firstLine="567"/>
        <w:jc w:val="both"/>
        <w:rPr>
          <w:color w:val="000000"/>
          <w:sz w:val="24"/>
          <w:szCs w:val="24"/>
        </w:rPr>
      </w:pPr>
      <w:r>
        <w:rPr>
          <w:color w:val="000000"/>
          <w:sz w:val="24"/>
          <w:szCs w:val="24"/>
        </w:rPr>
        <w:t>государственное потребление — от 16,8% до 22,8%;</w:t>
      </w:r>
    </w:p>
    <w:p w:rsidR="000A7A94" w:rsidRDefault="007366D6">
      <w:pPr>
        <w:widowControl w:val="0"/>
        <w:spacing w:before="120"/>
        <w:ind w:firstLine="567"/>
        <w:jc w:val="both"/>
        <w:rPr>
          <w:color w:val="000000"/>
          <w:sz w:val="24"/>
          <w:szCs w:val="24"/>
        </w:rPr>
      </w:pPr>
      <w:r>
        <w:rPr>
          <w:color w:val="000000"/>
          <w:sz w:val="24"/>
          <w:szCs w:val="24"/>
        </w:rPr>
        <w:t>соответственно, чистые налоги — от 8,4% до 20,4%.</w:t>
      </w:r>
    </w:p>
    <w:p w:rsidR="000A7A94" w:rsidRDefault="007366D6">
      <w:pPr>
        <w:widowControl w:val="0"/>
        <w:spacing w:before="120"/>
        <w:ind w:firstLine="567"/>
        <w:jc w:val="both"/>
        <w:rPr>
          <w:color w:val="000000"/>
          <w:sz w:val="24"/>
          <w:szCs w:val="24"/>
        </w:rPr>
      </w:pPr>
      <w:r>
        <w:rPr>
          <w:color w:val="000000"/>
          <w:sz w:val="24"/>
          <w:szCs w:val="24"/>
        </w:rPr>
        <w:t>На последний фактор налогоплательщик отреагировал увеличением доли денег, находящихся "вне банковской системы" - от 12,6% в 1991 году до 46,8% - в 1998-м. При этом, путем проведении регрессионного анализа аналитиками Госкомстата Украины было выявлено, что доля денег оборачивающаяся вне банковской системы оказалась тем выше, чем:</w:t>
      </w:r>
    </w:p>
    <w:p w:rsidR="000A7A94" w:rsidRDefault="007366D6">
      <w:pPr>
        <w:widowControl w:val="0"/>
        <w:spacing w:before="120"/>
        <w:ind w:firstLine="567"/>
        <w:jc w:val="both"/>
        <w:rPr>
          <w:color w:val="000000"/>
          <w:sz w:val="24"/>
          <w:szCs w:val="24"/>
        </w:rPr>
      </w:pPr>
      <w:r>
        <w:rPr>
          <w:color w:val="000000"/>
          <w:sz w:val="24"/>
          <w:szCs w:val="24"/>
        </w:rPr>
        <w:t xml:space="preserve">больше непроизводственное потребление — с коэффициентом 0.7815; </w:t>
      </w:r>
    </w:p>
    <w:p w:rsidR="000A7A94" w:rsidRDefault="007366D6">
      <w:pPr>
        <w:widowControl w:val="0"/>
        <w:spacing w:before="120"/>
        <w:ind w:firstLine="567"/>
        <w:jc w:val="both"/>
        <w:rPr>
          <w:color w:val="000000"/>
          <w:sz w:val="24"/>
          <w:szCs w:val="24"/>
        </w:rPr>
      </w:pPr>
      <w:r>
        <w:rPr>
          <w:color w:val="000000"/>
          <w:sz w:val="24"/>
          <w:szCs w:val="24"/>
        </w:rPr>
        <w:t xml:space="preserve">значительнее государственное потребление — с коэффициентом 0.7604; </w:t>
      </w:r>
    </w:p>
    <w:p w:rsidR="000A7A94" w:rsidRDefault="007366D6">
      <w:pPr>
        <w:widowControl w:val="0"/>
        <w:spacing w:before="120"/>
        <w:ind w:firstLine="567"/>
        <w:jc w:val="both"/>
        <w:rPr>
          <w:color w:val="000000"/>
          <w:sz w:val="24"/>
          <w:szCs w:val="24"/>
        </w:rPr>
      </w:pPr>
      <w:r>
        <w:rPr>
          <w:color w:val="000000"/>
          <w:sz w:val="24"/>
          <w:szCs w:val="24"/>
        </w:rPr>
        <w:t xml:space="preserve">выше уровень чистых налогов на производство и импорт — с коэффициентом 0.9191. </w:t>
      </w:r>
    </w:p>
    <w:p w:rsidR="000A7A94" w:rsidRDefault="007366D6">
      <w:pPr>
        <w:widowControl w:val="0"/>
        <w:spacing w:before="120"/>
        <w:ind w:firstLine="567"/>
        <w:jc w:val="both"/>
        <w:rPr>
          <w:color w:val="000000"/>
          <w:sz w:val="24"/>
          <w:szCs w:val="24"/>
        </w:rPr>
      </w:pPr>
      <w:r>
        <w:rPr>
          <w:color w:val="000000"/>
          <w:sz w:val="24"/>
          <w:szCs w:val="24"/>
        </w:rPr>
        <w:t>Иными словами, непродуманная экспансия государства в налоговой сфере и сферах государственного и непроизводственного потребления на Украине, осуществляемая Правительством страны в последние годы, привела к вытеснению отечественного капитала в «теневые» секторы экономики.</w:t>
      </w:r>
    </w:p>
    <w:p w:rsidR="000A7A94" w:rsidRDefault="007366D6">
      <w:pPr>
        <w:widowControl w:val="0"/>
        <w:spacing w:before="120"/>
        <w:ind w:firstLine="567"/>
        <w:jc w:val="both"/>
        <w:rPr>
          <w:color w:val="000000"/>
          <w:sz w:val="24"/>
          <w:szCs w:val="24"/>
        </w:rPr>
      </w:pPr>
      <w:r>
        <w:rPr>
          <w:color w:val="000000"/>
          <w:sz w:val="24"/>
          <w:szCs w:val="24"/>
        </w:rPr>
        <w:t>Причины происходящего следует искать, прежде всего, формировании неблагополучной институциональной среды украинской экономики, которая обусловливает «теневую» оборачиваемость капиталов, влияя на распределение денежной массы между наличностью и «безналом»; а также в превышении критической черты налогообложения на Украине, которая, по данным украинских экономистов, была «преодолена» в течении 1995 года, когда "чистые налоги" на Украине превысили 19% внутреннего валового продукта. Начиная с 1995 года, система фискальных отношений "плательщик налога — государство" стала оказывать разрушительное влияние на украинскую экономику, и явилось основным катализатором энтропийных процессов, происходящих в финансовой сфере.</w:t>
      </w:r>
    </w:p>
    <w:p w:rsidR="000A7A94" w:rsidRDefault="007366D6">
      <w:pPr>
        <w:widowControl w:val="0"/>
        <w:spacing w:before="120"/>
        <w:ind w:firstLine="567"/>
        <w:jc w:val="both"/>
        <w:rPr>
          <w:color w:val="000000"/>
          <w:sz w:val="24"/>
          <w:szCs w:val="24"/>
        </w:rPr>
      </w:pPr>
      <w:r>
        <w:rPr>
          <w:color w:val="000000"/>
          <w:sz w:val="24"/>
          <w:szCs w:val="24"/>
        </w:rPr>
        <w:t>И все эти процессы происходили и происходят на фоне безудержного воровства киевских и региональных чиновников, т.н. украинских«промышленников», в целом народонаселения страны. В этом смысле могут оказаться показательными, в частности, итоги проверки Счетной палатой деятельности Национального банка Украины в октябре 1999 года, согласно которым, указанное учреждение, без согласования с Парламентом Украины, в виде компьютеров, оргтехники, автомобилей и квартир «подарил» своим сотрудникам, различным частным и общественным организациям свыше 300 млн. грн. (33 млн. долл.). Все эти расходы не были покрыты никакими доходами, а 135,5 млн. гривен из них Национальный банк просто скрыл от контроля.</w:t>
      </w:r>
    </w:p>
    <w:p w:rsidR="000A7A94" w:rsidRDefault="007366D6">
      <w:pPr>
        <w:widowControl w:val="0"/>
        <w:spacing w:before="120"/>
        <w:ind w:firstLine="567"/>
        <w:jc w:val="both"/>
        <w:rPr>
          <w:color w:val="000000"/>
          <w:sz w:val="24"/>
          <w:szCs w:val="24"/>
        </w:rPr>
      </w:pPr>
      <w:r>
        <w:rPr>
          <w:color w:val="000000"/>
          <w:sz w:val="24"/>
          <w:szCs w:val="24"/>
        </w:rPr>
        <w:t>Аналогичные процессы происходят на всех уровнях государственной и общественной жизни Украины, - и примеры здесь можно множить до бесконечности (соот. примеры см., скажем, в моей книге «Путешествие в страну негодяев»).</w:t>
      </w:r>
    </w:p>
    <w:p w:rsidR="000A7A94" w:rsidRDefault="007366D6">
      <w:pPr>
        <w:widowControl w:val="0"/>
        <w:spacing w:before="120"/>
        <w:ind w:firstLine="567"/>
        <w:jc w:val="both"/>
        <w:rPr>
          <w:color w:val="000000"/>
          <w:sz w:val="24"/>
          <w:szCs w:val="24"/>
        </w:rPr>
      </w:pPr>
      <w:r>
        <w:rPr>
          <w:color w:val="000000"/>
          <w:sz w:val="24"/>
          <w:szCs w:val="24"/>
        </w:rPr>
        <w:t>В силу сказанного, можно констатировать, что, в стратегическом отношении, финансовое положение на Украине в ближайшей исторической перспективе будет планомерно ухудшаться и альтернативы данному развитию событий не просматривается.</w:t>
      </w:r>
    </w:p>
    <w:p w:rsidR="000A7A94" w:rsidRDefault="007366D6">
      <w:pPr>
        <w:widowControl w:val="0"/>
        <w:spacing w:before="120"/>
        <w:jc w:val="center"/>
        <w:rPr>
          <w:b/>
          <w:bCs/>
          <w:color w:val="000000"/>
          <w:sz w:val="28"/>
          <w:szCs w:val="28"/>
        </w:rPr>
      </w:pPr>
      <w:r>
        <w:rPr>
          <w:b/>
          <w:bCs/>
          <w:color w:val="000000"/>
          <w:sz w:val="28"/>
          <w:szCs w:val="28"/>
        </w:rPr>
        <w:t>Список литературы</w:t>
      </w:r>
    </w:p>
    <w:p w:rsidR="000A7A94" w:rsidRDefault="007366D6">
      <w:pPr>
        <w:widowControl w:val="0"/>
        <w:spacing w:before="120"/>
        <w:ind w:firstLine="567"/>
        <w:jc w:val="both"/>
        <w:rPr>
          <w:color w:val="000000"/>
          <w:sz w:val="24"/>
          <w:szCs w:val="24"/>
        </w:rPr>
      </w:pPr>
      <w:r>
        <w:rPr>
          <w:color w:val="000000"/>
          <w:sz w:val="24"/>
          <w:szCs w:val="24"/>
        </w:rPr>
        <w:t>Р.В.Манекин. Экономическое положение на Украине (финансовый аспект)</w:t>
      </w:r>
      <w:bookmarkStart w:id="0" w:name="_GoBack"/>
      <w:bookmarkEnd w:id="0"/>
    </w:p>
    <w:sectPr w:rsidR="000A7A9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3E0FCC"/>
    <w:multiLevelType w:val="hybridMultilevel"/>
    <w:tmpl w:val="666E13F0"/>
    <w:lvl w:ilvl="0" w:tplc="49ACB1A0">
      <w:start w:val="1"/>
      <w:numFmt w:val="bullet"/>
      <w:lvlText w:val=""/>
      <w:lvlJc w:val="left"/>
      <w:pPr>
        <w:tabs>
          <w:tab w:val="num" w:pos="720"/>
        </w:tabs>
        <w:ind w:left="720" w:hanging="360"/>
      </w:pPr>
      <w:rPr>
        <w:rFonts w:ascii="Symbol" w:hAnsi="Symbol" w:cs="Symbol" w:hint="default"/>
        <w:sz w:val="20"/>
        <w:szCs w:val="20"/>
      </w:rPr>
    </w:lvl>
    <w:lvl w:ilvl="1" w:tplc="C4A8EC56">
      <w:start w:val="1"/>
      <w:numFmt w:val="bullet"/>
      <w:lvlText w:val=""/>
      <w:lvlJc w:val="left"/>
      <w:pPr>
        <w:tabs>
          <w:tab w:val="num" w:pos="1440"/>
        </w:tabs>
        <w:ind w:left="1440" w:hanging="360"/>
      </w:pPr>
      <w:rPr>
        <w:rFonts w:ascii="Symbol" w:hAnsi="Symbol" w:cs="Symbol" w:hint="default"/>
        <w:sz w:val="20"/>
        <w:szCs w:val="20"/>
      </w:rPr>
    </w:lvl>
    <w:lvl w:ilvl="2" w:tplc="5F1E7608">
      <w:start w:val="1"/>
      <w:numFmt w:val="bullet"/>
      <w:lvlText w:val=""/>
      <w:lvlJc w:val="left"/>
      <w:pPr>
        <w:tabs>
          <w:tab w:val="num" w:pos="2160"/>
        </w:tabs>
        <w:ind w:left="2160" w:hanging="360"/>
      </w:pPr>
      <w:rPr>
        <w:rFonts w:ascii="Symbol" w:hAnsi="Symbol" w:cs="Symbol" w:hint="default"/>
        <w:sz w:val="20"/>
        <w:szCs w:val="20"/>
      </w:rPr>
    </w:lvl>
    <w:lvl w:ilvl="3" w:tplc="8D3E1052">
      <w:start w:val="1"/>
      <w:numFmt w:val="bullet"/>
      <w:lvlText w:val=""/>
      <w:lvlJc w:val="left"/>
      <w:pPr>
        <w:tabs>
          <w:tab w:val="num" w:pos="2880"/>
        </w:tabs>
        <w:ind w:left="2880" w:hanging="360"/>
      </w:pPr>
      <w:rPr>
        <w:rFonts w:ascii="Symbol" w:hAnsi="Symbol" w:cs="Symbol" w:hint="default"/>
        <w:sz w:val="20"/>
        <w:szCs w:val="20"/>
      </w:rPr>
    </w:lvl>
    <w:lvl w:ilvl="4" w:tplc="56C439F6">
      <w:start w:val="1"/>
      <w:numFmt w:val="bullet"/>
      <w:lvlText w:val=""/>
      <w:lvlJc w:val="left"/>
      <w:pPr>
        <w:tabs>
          <w:tab w:val="num" w:pos="3600"/>
        </w:tabs>
        <w:ind w:left="3600" w:hanging="360"/>
      </w:pPr>
      <w:rPr>
        <w:rFonts w:ascii="Symbol" w:hAnsi="Symbol" w:cs="Symbol" w:hint="default"/>
        <w:sz w:val="20"/>
        <w:szCs w:val="20"/>
      </w:rPr>
    </w:lvl>
    <w:lvl w:ilvl="5" w:tplc="DFAEC050">
      <w:start w:val="1"/>
      <w:numFmt w:val="bullet"/>
      <w:lvlText w:val=""/>
      <w:lvlJc w:val="left"/>
      <w:pPr>
        <w:tabs>
          <w:tab w:val="num" w:pos="4320"/>
        </w:tabs>
        <w:ind w:left="4320" w:hanging="360"/>
      </w:pPr>
      <w:rPr>
        <w:rFonts w:ascii="Symbol" w:hAnsi="Symbol" w:cs="Symbol" w:hint="default"/>
        <w:sz w:val="20"/>
        <w:szCs w:val="20"/>
      </w:rPr>
    </w:lvl>
    <w:lvl w:ilvl="6" w:tplc="754A0FC4">
      <w:start w:val="1"/>
      <w:numFmt w:val="bullet"/>
      <w:lvlText w:val=""/>
      <w:lvlJc w:val="left"/>
      <w:pPr>
        <w:tabs>
          <w:tab w:val="num" w:pos="5040"/>
        </w:tabs>
        <w:ind w:left="5040" w:hanging="360"/>
      </w:pPr>
      <w:rPr>
        <w:rFonts w:ascii="Symbol" w:hAnsi="Symbol" w:cs="Symbol" w:hint="default"/>
        <w:sz w:val="20"/>
        <w:szCs w:val="20"/>
      </w:rPr>
    </w:lvl>
    <w:lvl w:ilvl="7" w:tplc="180A812A">
      <w:start w:val="1"/>
      <w:numFmt w:val="bullet"/>
      <w:lvlText w:val=""/>
      <w:lvlJc w:val="left"/>
      <w:pPr>
        <w:tabs>
          <w:tab w:val="num" w:pos="5760"/>
        </w:tabs>
        <w:ind w:left="5760" w:hanging="360"/>
      </w:pPr>
      <w:rPr>
        <w:rFonts w:ascii="Symbol" w:hAnsi="Symbol" w:cs="Symbol" w:hint="default"/>
        <w:sz w:val="20"/>
        <w:szCs w:val="20"/>
      </w:rPr>
    </w:lvl>
    <w:lvl w:ilvl="8" w:tplc="ACB2A5BE">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6D6"/>
    <w:rsid w:val="000A7A94"/>
    <w:rsid w:val="007366D6"/>
    <w:rsid w:val="007605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14B8A2-E0C9-4512-80A8-9EC30FBC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styleId="a3">
    <w:name w:val="Strong"/>
    <w:basedOn w:val="a0"/>
    <w:uiPriority w:val="99"/>
    <w:qFormat/>
    <w:rPr>
      <w:b/>
      <w:bCs/>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6717</Words>
  <Characters>3829</Characters>
  <Application>Microsoft Office Word</Application>
  <DocSecurity>0</DocSecurity>
  <Lines>31</Lines>
  <Paragraphs>21</Paragraphs>
  <ScaleCrop>false</ScaleCrop>
  <Company>PERSONAL COMPUTERS</Company>
  <LinksUpToDate>false</LinksUpToDate>
  <CharactersWithSpaces>10525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Экономическое положение на Украине (финансовый аспект)</dc:title>
  <dc:subject/>
  <dc:creator>USER</dc:creator>
  <cp:keywords/>
  <dc:description/>
  <cp:lastModifiedBy>admin</cp:lastModifiedBy>
  <cp:revision>2</cp:revision>
  <dcterms:created xsi:type="dcterms:W3CDTF">2014-01-26T14:55:00Z</dcterms:created>
  <dcterms:modified xsi:type="dcterms:W3CDTF">2014-01-26T14:55:00Z</dcterms:modified>
</cp:coreProperties>
</file>