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3F" w:rsidRPr="003774DE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774DE">
        <w:rPr>
          <w:b/>
          <w:bCs/>
          <w:sz w:val="28"/>
          <w:szCs w:val="28"/>
        </w:rPr>
        <w:t>Содержание</w:t>
      </w:r>
    </w:p>
    <w:p w:rsidR="0009273F" w:rsidRPr="0009273F" w:rsidRDefault="0009273F" w:rsidP="0009273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9273F" w:rsidRDefault="0009273F" w:rsidP="0009273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9273F" w:rsidRDefault="0009273F" w:rsidP="0009273F">
      <w:pPr>
        <w:numPr>
          <w:ilvl w:val="0"/>
          <w:numId w:val="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антикризисного управления денежными потоками</w:t>
      </w:r>
    </w:p>
    <w:p w:rsidR="0009273F" w:rsidRDefault="0009273F" w:rsidP="0009273F">
      <w:pPr>
        <w:numPr>
          <w:ilvl w:val="0"/>
          <w:numId w:val="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денежных потоков</w:t>
      </w:r>
    </w:p>
    <w:p w:rsidR="0009273F" w:rsidRDefault="0009273F" w:rsidP="0009273F">
      <w:pPr>
        <w:numPr>
          <w:ilvl w:val="0"/>
          <w:numId w:val="7"/>
        </w:numPr>
        <w:tabs>
          <w:tab w:val="clear" w:pos="1069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инвестиционной стоимости кризисного предприятия</w:t>
      </w:r>
    </w:p>
    <w:p w:rsidR="0009273F" w:rsidRDefault="0009273F" w:rsidP="0009273F">
      <w:pPr>
        <w:numPr>
          <w:ilvl w:val="0"/>
          <w:numId w:val="7"/>
        </w:numPr>
        <w:tabs>
          <w:tab w:val="clear" w:pos="1069"/>
          <w:tab w:val="left" w:pos="1080"/>
        </w:tabs>
        <w:spacing w:line="360" w:lineRule="auto"/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>Стадии кризисного состояния предприятия. Оценка кризисного предприятия</w:t>
      </w:r>
    </w:p>
    <w:p w:rsidR="0009273F" w:rsidRDefault="0009273F" w:rsidP="0009273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09273F" w:rsidRDefault="0009273F" w:rsidP="0009273F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Toc118107998"/>
      <w:r>
        <w:rPr>
          <w:sz w:val="28"/>
          <w:szCs w:val="28"/>
        </w:rPr>
        <w:br w:type="page"/>
      </w:r>
      <w:r w:rsidRPr="0009273F">
        <w:rPr>
          <w:b/>
          <w:bCs/>
          <w:sz w:val="28"/>
          <w:szCs w:val="28"/>
        </w:rPr>
        <w:t>Введение</w:t>
      </w:r>
      <w:bookmarkEnd w:id="0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 настоящее время большинство отечественный предприятий испытывают финансовые затруднения, связанные как с внешними общегосударственными проблемами (нестабильность политической ситуации, несовершенство законодательной базы, неплатежи, спад производства), так и с внутренними проблемами - неэффективный маркетинг, неэффективное использование средств, неэффективный производственный менеджмент, несбалансированность финансовых потоков. Совокупность перечисленных факторов вызывает необходимость постоянной диагностики финансового положения предприятия с целью ранней диагностики кризисного развития предприятия и выработки защитных механизмов антикризисного управления финансами в зависимости от выявленных факторов и силы их воздействия.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Негативное влияние таких факторов должно нивелировать антикризисное управление предприятием. Суть этой системы управления состоит в том, что угроза банкротства диагностируется еще на ранних стадиях ее возникновения, что позволяет своевременно привести в действие специальные финансовые механизмы защиты или обосновать необходимость определенных реорганизационных процедур. Если эти механизмы и процедуры в силу несвоевременного или недостаточно эффективного их осуществления не привели к финансовому оздоровлению предприятия, оно стоит перед необходимостью в добровольном или принудительном порядке прекратить свою хозяйственную деятельность и начать ликвидационные процедуры.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Одним из основных направлений антикризисного управления хозяйствующего субъекта должна стать его «кровеносная система» - денежный поток. Денежный поток предприятия представляет собой совокупность распределенных во времени поступлений и выплат денежных средств, генерируемых его хозяйственной деятельностью.</w:t>
      </w:r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1" w:name="_Toc118107999"/>
      <w:r>
        <w:rPr>
          <w:sz w:val="28"/>
          <w:szCs w:val="28"/>
        </w:rPr>
        <w:br w:type="page"/>
      </w:r>
      <w:r w:rsidRPr="0009273F">
        <w:rPr>
          <w:b/>
          <w:bCs/>
          <w:sz w:val="28"/>
          <w:szCs w:val="28"/>
        </w:rPr>
        <w:t>1. Роль антикризисного управления денежными потоками</w:t>
      </w:r>
      <w:bookmarkEnd w:id="1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Высокая роль антикризисного управления денежными потоками определяется следующими основными положениями: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1. </w:t>
      </w:r>
      <w:r w:rsidR="00B923B6" w:rsidRPr="0009273F">
        <w:rPr>
          <w:sz w:val="28"/>
          <w:szCs w:val="28"/>
        </w:rPr>
        <w:t>Денежные потоки обслуживают осуществление хозяйственной деятельности предприятия практически во всех аспектах. Эффективно организованные денежные потоки предприятия являются важнейшим симптомом его «финансового здоровья», предпосылкой достижения высоких конечных результатов его хозяйственной деятельности в целом;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2. Эффективное управление денежными потоками обеспечивает финансовое равновесие предприятия в процессе его стратегического развития. Темпы этого развития, финансовая устойчивость предприятия в значительной мере определяются тем, насколько различные виды потоков денежных средств синхронизированы между собой по объемам и по времени.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3. Рациональное формирование денежных потоков способствует повышению ритмичности осуществления операционного процесса. Любой сбой в осуществлении платежей отрицательно сказывается на формировании производственных запасов сырья и материалов, уровне производительности труда, реализации готовой продукции и т. </w:t>
      </w:r>
      <w:r w:rsidR="0009273F">
        <w:rPr>
          <w:sz w:val="28"/>
          <w:szCs w:val="28"/>
        </w:rPr>
        <w:t>п</w:t>
      </w:r>
      <w:r w:rsidRPr="0009273F">
        <w:rPr>
          <w:sz w:val="28"/>
          <w:szCs w:val="28"/>
        </w:rPr>
        <w:t>.;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4. Эффективное антикризисное управление денежными потоками позволяет сократить потребность предприятия в заемном капитале. Активно управляя денежными потоками, можно обеспечить более рациональное и экономное использование собственных финансовых ресурсов, формируемых из внутренних источников, снизить зависимость темпов развития предприятия от привлекаемых кредитов;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5. Управление денежными потоками является важным финансовым рычагом в обеспечении ускорения оборота капитала предприятия, что достигается путем сокращения продолжительности производственного и финансового циклов, а также снижением потребности в капитале, обслуживающим хозяйственную деятельность предприятия;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6. Эффективное управление денежными потоками обеспечивает снижение риска неплатежеспособности предприятия;</w:t>
      </w:r>
    </w:p>
    <w:p w:rsidR="0009273F" w:rsidRPr="0009273F" w:rsidRDefault="00B923B6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7. Активные формы управления денежными потоками позволяют предприятию получать дополнительную прибыль, генерируемую непосредственно его денежными активами. Речь идет, в первую очередь, об эффективном использовании временно свободных остатков денежных средств в составе оборотных активов, а также накапливаемых инвестиционных ресурсов в осуществлении финансовых инвестиций.</w:t>
      </w:r>
    </w:p>
    <w:p w:rsid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Toc118108000"/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9273F">
        <w:rPr>
          <w:b/>
          <w:bCs/>
          <w:sz w:val="28"/>
          <w:szCs w:val="28"/>
        </w:rPr>
        <w:t>2. Оптимизация денежных потоков</w:t>
      </w:r>
      <w:bookmarkEnd w:id="2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>Оптимизация потоков денежных средств - одна из важных задач антикризисного финансового управления [2].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>Первое, что следует сделать в этом направлении, - внедрить процедуру ежедневной сверки баланса наличных денежных средств. Это позволит исключить возможные злоупотребления, даст менеджерам достоверную информацию о текущем остатке средств на счетах и в кассе предприятия, необходимую для принятия решений об осуществлении текущих платежей. Затем нужно создать реестр текущих платежей и расставить приоритеты. Приоритетность того или иного платежа топ-менеджеры должны рассматривать в ходе ежемесячного обсуждения с участием рядовых сотрудников. После этого можно переходить к построению максимально детального бюджета движения денежных средств на будущий отчетный период (месяц). Это позволит оптимизировать денежные потоки компании и предвидеть кассовые разрывы.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>Кроме того, надо поддерживать низкий баланс на расчетных счетах в различных банках, то есть свести сумму наличных средств к минимуму. Если один из счетов компании будет заморожен, она сможет продолжить работу, используя счета в других банках. Эта мера позволит обезопасить компанию от таких рисков, как банкротство банка или выставление картотеки по счетам.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>Необходимо также рассмотреть возможность увеличения так называемых внереализационных доходов. Для этого совместно с инженерной службой анализируется возможность реализации части неиспользуемого оборудования или его консервации. Акт о консервации оборудования передается в налоговую инспекцию, благодаря чему можно будет не платить налог на имущество по законсервированным объектам. Нередко предприятие может получить дополнительные доходы за счет сдачи в аренду неиспользуемых площадей или перевода офиса в менее дорогое место.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>Наряду с перечисленными мероприятиями по оптимизации потоков денежных средств нужно пересмотреть политику компании в области осуществления капитальных инвестиций: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 xml:space="preserve">приостановить или закрыть долгосрочные инвестиционные проекты, которые не принесут доход в ближайшем будущем; 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273F">
        <w:rPr>
          <w:color w:val="000000"/>
          <w:sz w:val="28"/>
          <w:szCs w:val="28"/>
        </w:rPr>
        <w:t xml:space="preserve">по проектам, остановка которых невозможна, следует изменить график поступления инвестиций так, чтобы исключить возникновение кассовых разрывов в бюджете компании. 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3" w:name="_Toc118108001"/>
      <w:r w:rsidRPr="0009273F">
        <w:rPr>
          <w:b/>
          <w:bCs/>
          <w:sz w:val="28"/>
          <w:szCs w:val="28"/>
        </w:rPr>
        <w:t>3. Оценка инвестиционной стоимости кризисного предприятия</w:t>
      </w:r>
      <w:bookmarkEnd w:id="3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Рыночная стоимость активов предприятий, находящихся на стадии кризиса, оценивается со значительным дисконтом. Часто бизнес предприятий-банкротов привлекателен для конкретного инвестора. 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 настоящее время в России очень много компаний, находящихся в кризисной ситуации или проходящих процедуры банкротства. Согласно статистике только 5% российских предприятий оказываются жизнеспособными после проведения процедур банкротства, остальные подлежат ликвидации.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Основываясь на практическом опыте, можно утверждать, что нередко в рамках процедур банкротства или ликвидации активы предприятий, банков, финансовых институтов реализуются со значительным дисконтом от рыночной или балансовой стоимости. Так, например, при ликвидации ОАО «СБС-Агро» рассчитывалась «рыночная стоимость при срочной и мгновенной ликвидации активов». За основу бралась рыночная (или балансовая) стоимость активов с дисконтом от 30 до 70% [3].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Сегодня рыночная стоимость стала общепризнанной базой оценки, которая определяется и в контексте процедур банкротства. Однако опыт показывает, что рыночная стоимость кризисного предприятия или предприятия-банкрота может быть близкой или равной нулю, в то время как его инвестиционная стоимость становится значимой величиной.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Приведем следующий пример. На дату оценки рыночная стоимость предприятия-банкрота, осуществлявшего международные грузоперевозки, близка к нулю. Однако инвестиционная стоимость этого предприятия значительно выше.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Возникает вопрос: почему инвестор не создаст новое предприятие? Потому что создание клиентской базы требует времени, управление таким бизнесом - опыта; получение необходимых нематериальных активов (например, вступление в АСМАП и др.) - для новой фирмы задача невыполнимая. Место регистрации предприятия-банкрота может быть оптимальным с точки зрения стоимости лизинга. Факторами принятия решения могут стать правовые и налоговые аспекты организации и финансирования бизнеса.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Значит, предприятие-банкрот это не только неликвидное имущество, как часто бывает в рамках процедур банкротства. Оно может сохранять и создавать рабочие места, продолжать платить налоги, обеспечивать предпринимательский доход и создавать дополнительную стоимость. Поэтому среди определяемых в рамках оценки бизнеса стоимостей важное место занимает инвестиционная стоимость.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Инвестиционная стоимость определяется как специфическая стоимость капиталовложений конкретного инвестора или группы инвесторов при определенных условиях инвестирования [1]. Такая стоимость основана на индивидуальных инвестиционных требованиях (условиях) инвестора, в отличие от рыночной стоимости, которая является безличной и не зависит от персональных пожеланий (условий, требований) конкретного инвестора.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4" w:name="_Toc118108002"/>
      <w:r w:rsidRPr="0009273F">
        <w:rPr>
          <w:b/>
          <w:bCs/>
          <w:sz w:val="28"/>
          <w:szCs w:val="28"/>
        </w:rPr>
        <w:t>4. Стадии кризисного состояния предприятия.</w:t>
      </w:r>
      <w:bookmarkEnd w:id="4"/>
      <w:r w:rsidRPr="0009273F">
        <w:rPr>
          <w:b/>
          <w:bCs/>
          <w:sz w:val="28"/>
          <w:szCs w:val="28"/>
        </w:rPr>
        <w:t xml:space="preserve"> </w:t>
      </w:r>
      <w:bookmarkStart w:id="5" w:name="_Toc118108003"/>
      <w:r w:rsidRPr="0009273F">
        <w:rPr>
          <w:b/>
          <w:bCs/>
          <w:sz w:val="28"/>
          <w:szCs w:val="28"/>
        </w:rPr>
        <w:t>Оценка кризисного предприятия</w:t>
      </w:r>
      <w:bookmarkEnd w:id="5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Кризисное состояние на предприятии можно охарактеризовать как появление и развитие негативных тенденций в функционировании предприятия, угрожающих его жизнеспособности. В связи с тем что кризис охватывает предприятие постепенно, принято выделять несколько его стадий [2].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На первой стадии предприятие функционирует в обычном режиме и является платежеспособным, однако при анализе финансового состояния выявляются негативные тенденции развития. Поэтому данную стадию классифицируют как «кризис тенденции финансовых результатов».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Основным квалифицирующим признаком второй стадии кризиса является недостаточная результативность текущей деятельности, поэтому данную стадию называют «кризисом финансовых результатов».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Главный классифицирующий признак третьей стадии кризиса - неплатежеспособность.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ЗАО «Кругозор» - московский завод игрушек - пример превышения инвестиционной стоимости над рыночной. По мнению специалистов, основным фактором инвестиционной привлекательности завода стала ею недвижимость (совокупность зданий и земельного участка на ул. Обручева).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 качестве наиболее эффективного использования недвижимости, приводящего к максимизации ее стоимости, рассматривается офисное здание класса В. По предварительным оценкам, реконструкция здания оценивается в 500 долл. за 1 кв. м, а потенциальная ставка аренды после реконструкции – 400-450 долл. за кв. м в год. Сохранить профиль завода возможно, если производство будет размещено на 200-300 кв. м.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Учитывая, что профильное оборудование завода уже не является частью действующего бизнеса, для него характерно снижение ликвидности и стоимости. Доказательством превышения инвестиционной стоимости над рыночной является динамика акций ЗАО «Кругозор» — от 100 до 1500 долл./акцию [6].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Кризисное состояние на предприятии является отклонением от «нормы», в связи с чем к кризисным предприятиям затруднено (а в некоторых случаях невозможно) применение стандартных методов и инструментов оценки.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При оценке рыночной стоимости кризисного предприятия следует ожидать следующих результатов по каждому из подходов: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1. Доходный подход. Вследствие низкой величины прибыли, дефицита собственного капитала и завышенной ставки дисконтирования рыночная стоимость примет отрицательное или низкое значение.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2. Сравнительный подход. Возможность расчета стоимости появляется только в том случае, если в распоряжении оценщика будет информация о купле/продаже предприятий (или пакетов акций предприятий), которые не только выпускают аналогичную продукцию, имеют аналогичные масштабы деятельности, но и находятся в сходном финансовом состоянии. Подобную информацию найти крайне сложно.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3. Затратный подход. Вследствие большой доли задолженности в составе пассивов и наличия большого количества неликвидных активов величина стоимости примет отрицательное или низкое значение.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Скорее всего, наиболее адекватную величину рыночной стоимости покажет затратный подход. Однако он не учитывает такой важной характеристики предприятия, как перспективы функционирования.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Инвестиционная стоимость как специальный вид стоимости может быть рассчитана с учетом: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- перспектив использования конкретных активов предприятия в производственно-технологическом процессе инвестора, в том числе нематериальных активов;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- эффекта экономии затрат при отказе от услуг сторонних организаций и альтернативного использования услуг кризисного предприятия с оплатой ниже рыночных тарифов;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- антикризисных мер, предполагающих дополнительные инвестиции, которые будет осуществлять не типичный покупатель, а конкретный или потенциальный инвестор (группа инвесторов). Учет инвестиций и положительной отдачи на вложения в будущем даст положительную величину стоимости компании в настоящем, что позволит предприятию привлечь реальных инвесторов для выхода из кризисной ситуации.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Инвестиционная стоимость как специальный вид стоимости имеет свою специфику, отличительные черты и методологию определения.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Разница между инвестиционной и ликвидационной стоимостью является критерием принятия обоснованных решений. Эту разницу можно представить в виде величины А, определяемой по формуле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∆ = С инв – С ча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где Синв - инвестиционная стоимость объекта оценки; Сча - ликвидационная стоимость объекта оценки.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Положительное значение величины   ∆ указывает на то, что при реализации инвестиционного проекта достигается более значительный эффект, чем при ликвидации предприятия. В случае отрицательной разницы между величиной инвестиционной стоимости и стоимости, рассчитанной методом чистых активов, более приоритетна ликвидация кризисного предприятия.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Особенности кризисного предприятия как объекта оценки обусловливают необходимость модификации и корректировки методов, используемых для оценки инвестиционной стоимости бизнеса.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В связи с этим можно отметить следующие особенности формирования денежного потока для оценки инвестиционной стоимости кризисного предприятия: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1. Длительность прогнозного периода соответствует сроку реализации проекта или проведения реабилитационной процедуры.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2. Предприятие, находящееся в состоянии финансового кризиса и ограниченное в привлечении внешних источников финансирования, таких как банковские кредиты и займы, старается поддерживать свою деятельность за счет внутренних источников. Так, например, для реализации инвестиционной программы предприятие может продать непрофильные или нефункционирующие активы (в том числе финансовые вложения и дебиторскую задолженность) с целью получения дополнительных денежных средств. Доходы и расходы от продаж учитываются в денежных потоках.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3. В качестве базы стоимости выступает денежный поток на собственный капитал. В случае если на предприятии введена реабилитационная процедура банкротства, выплаты по долгу должны соответствовать утвержденному графику погашения задолженности.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4. Денежный поток включает расходы, связанные с проведением антикризисных мероприятий.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5. При расчете ставки дисконтирования необходимо учитывать как индивидуальные предпочтения инвестора, так и риск ликвидации предприятия.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6. При построении денежного потока в части расчете налога на прибыль следует учитывать, что в соответствии со ст. 283 НК РФ налогоплательщики, понесшие в предыдущих периодах убыток, вправе уменьшить налоговую базу текущего налогового периода на сумму полученного ими убытка или на ее часть. Убыток может быть перенесен на будущие периоды в течение 10 лет, при этом совокупная сумма переносимого убытка не может превышать 30% налоговой базы. В случае если убыток, полученный в период, предшествующий прогнозному, переносится на будущее, налог на прибыль должен рассчитываться следующим образом: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- если совокупный убыток прошлого года превышает 30% налоговой базы;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НП = (1 - 0,3)хНБхСНП;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- если совокупный убыток прошлого менее 30% налоговой базы и может быть списан полностью в текущем периоде: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НП = (1 - Суб)хНБхСнп,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где НП - налог на прибыль; НБ - налоговая база без учета списываемого убытка; Снп -ставка налога на прибыль; Cyб - сумма списываемого убытка прошлого года [6].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Для приведения прогнозируемых денежных потоков к текущей стоимости используется ставка дисконтирования. Особенности ее расчета для определения инвестиционной стоимости кризисных предприятий связаны с необходимостью учета факторов, характеризующих риск инвестиций в предприятие.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Следовательно, при расчете надбавки учитываются и субъективные, и объективные факторы.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При расчете стоимости предприятия в постпрогнозный период необходимо учитывать как долгосрочные перспективы развития предприятия, так и цели инвесторов. В связи с этим можно выделить следующие особенности оценки остаточной стоимости: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1. Инвестиционный проект реализован и оказал положительное воздействие на стоимость предприятия, которое продолжит функционировать по истечении прогнозного периода. В этом случае для оценки текущей стоимости денежных потоков в постпрогнозном периоде используется модель Гордона.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2. По инициативе инвесторов или собственников предприятие может быть продано в конце прогнозного периода. В этом случае прогнозируют цену продажи предприятия, например, на основании ценовых мультипликаторов.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3. План финансового оздоровления имеет целью только расчеты с кредиторами и последующую ликвидацию предприятия. В этом случае стоимость предприятия в постпрогнозном периоде будет равна цене продажи активов за вычетом затрат на ликвидацию.</w:t>
      </w:r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6" w:name="_Toc118108004"/>
      <w:r>
        <w:rPr>
          <w:sz w:val="28"/>
          <w:szCs w:val="28"/>
        </w:rPr>
        <w:br w:type="page"/>
      </w:r>
      <w:r w:rsidRPr="0009273F">
        <w:rPr>
          <w:b/>
          <w:bCs/>
          <w:sz w:val="28"/>
          <w:szCs w:val="28"/>
        </w:rPr>
        <w:t>Заключение</w:t>
      </w:r>
      <w:bookmarkEnd w:id="6"/>
    </w:p>
    <w:p w:rsidR="0009273F" w:rsidRPr="0009273F" w:rsidRDefault="0009273F" w:rsidP="0009273F">
      <w:pPr>
        <w:spacing w:line="360" w:lineRule="auto"/>
        <w:ind w:firstLine="709"/>
        <w:jc w:val="center"/>
        <w:rPr>
          <w:sz w:val="28"/>
          <w:szCs w:val="28"/>
        </w:rPr>
      </w:pP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Рыночная экономика выработала обширную систему финансовых методов предварительной диагностики и возможной защиты предприятия от банкротства, которая получила название "системы антикризисного финансового управления". Для реализации этой системы управления в странах с развитой рыночной экономикой готовятся особые специалисты - менеджеры по антикризисному управлению компанией.</w:t>
      </w:r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Учитывая высокую роль денежного потока в деятельности предприятия, для эффективного управления им, на первое место выходит обеспечение полного и достоверного учета финансовых средств хозяйствующего субъекта, формирование необходимой своевременной отчетности, внедрение на предприятиях служб и систем, которые бы отвечали за планирование, формирование, управление и анализ денежного потока. Реализация этих мер значительно повысит эффективность использования как собственных, так и заемных средств предприятия, следствием чего станет его прочное финансовое положение и устойчивость в условиях изменений внутрихозяйственной и внешней рыночной ситуации.</w:t>
      </w:r>
    </w:p>
    <w:p w:rsidR="0009273F" w:rsidRPr="0009273F" w:rsidRDefault="0009273F" w:rsidP="0009273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7" w:name="_Toc118108005"/>
      <w:r>
        <w:rPr>
          <w:sz w:val="28"/>
          <w:szCs w:val="28"/>
        </w:rPr>
        <w:br w:type="page"/>
      </w:r>
      <w:r w:rsidRPr="0009273F">
        <w:rPr>
          <w:b/>
          <w:bCs/>
          <w:sz w:val="28"/>
          <w:szCs w:val="28"/>
        </w:rPr>
        <w:t>Список литературы</w:t>
      </w:r>
      <w:bookmarkEnd w:id="7"/>
    </w:p>
    <w:p w:rsidR="0009273F" w:rsidRPr="0009273F" w:rsidRDefault="0009273F" w:rsidP="0009273F">
      <w:pPr>
        <w:spacing w:line="360" w:lineRule="auto"/>
        <w:ind w:firstLine="709"/>
        <w:jc w:val="both"/>
        <w:rPr>
          <w:sz w:val="28"/>
          <w:szCs w:val="28"/>
        </w:rPr>
      </w:pP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Антикризисное управление / Под. ред. Короткова Э.М. - М.: ИНФРА-М, 2000. </w:t>
      </w: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Антикризисный менеджмент / Под. ред. проф. Грязновой А.Г. - М.: Ассоциация авторов и издателей "ТАНДЕМ". Издательство ЭКМОС, 1999.</w:t>
      </w: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273F">
        <w:rPr>
          <w:sz w:val="28"/>
          <w:szCs w:val="28"/>
        </w:rPr>
        <w:t>Бузова  И. Л. Коммерческая оценка инвестиций: Учебник. СПб.: Питер, 2003.</w:t>
      </w: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Дж. К. Ван Хорн Основы управления финансами - М.: "Финансы и статистика" ,1997. </w:t>
      </w: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09273F">
        <w:rPr>
          <w:sz w:val="28"/>
          <w:szCs w:val="28"/>
        </w:rPr>
        <w:t xml:space="preserve">Иванов В.Н., Выскребцев В.А. Правовые основы антикризисного управления в предпринимательской деятельности - М.: "Макцентр. Издательство", 1999. </w:t>
      </w:r>
    </w:p>
    <w:p w:rsidR="0009273F" w:rsidRPr="0009273F" w:rsidRDefault="0009273F" w:rsidP="0009273F">
      <w:pPr>
        <w:numPr>
          <w:ilvl w:val="0"/>
          <w:numId w:val="8"/>
        </w:numPr>
        <w:tabs>
          <w:tab w:val="clear" w:pos="1778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09273F">
        <w:rPr>
          <w:sz w:val="28"/>
          <w:szCs w:val="28"/>
        </w:rPr>
        <w:t>Справочник кризисного управляющего /  Под. ред. проф. Уткина Э.А. - М.: Ассоциация авторов и издателей "ТАНДЕМ". Издательство ЭКМОС, 2003.</w:t>
      </w:r>
      <w:bookmarkStart w:id="8" w:name="_GoBack"/>
      <w:bookmarkEnd w:id="8"/>
    </w:p>
    <w:sectPr w:rsidR="0009273F" w:rsidRPr="0009273F" w:rsidSect="003774DE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46" w:rsidRDefault="00427C46">
      <w:r>
        <w:separator/>
      </w:r>
    </w:p>
  </w:endnote>
  <w:endnote w:type="continuationSeparator" w:id="0">
    <w:p w:rsidR="00427C46" w:rsidRDefault="0042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46" w:rsidRDefault="00427C46">
      <w:r>
        <w:separator/>
      </w:r>
    </w:p>
  </w:footnote>
  <w:footnote w:type="continuationSeparator" w:id="0">
    <w:p w:rsidR="00427C46" w:rsidRDefault="00427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73F" w:rsidRDefault="00900458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09273F" w:rsidRDefault="0009273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F4B"/>
    <w:multiLevelType w:val="multilevel"/>
    <w:tmpl w:val="1DCE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4461D"/>
    <w:multiLevelType w:val="hybridMultilevel"/>
    <w:tmpl w:val="322E6A96"/>
    <w:lvl w:ilvl="0" w:tplc="206ADBA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5404658"/>
    <w:multiLevelType w:val="hybridMultilevel"/>
    <w:tmpl w:val="9E06CC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76334EE"/>
    <w:multiLevelType w:val="hybridMultilevel"/>
    <w:tmpl w:val="FAE026D0"/>
    <w:lvl w:ilvl="0" w:tplc="206ADB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1C917B1"/>
    <w:multiLevelType w:val="multilevel"/>
    <w:tmpl w:val="C78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88C1703"/>
    <w:multiLevelType w:val="multilevel"/>
    <w:tmpl w:val="1DCE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67434"/>
    <w:multiLevelType w:val="hybridMultilevel"/>
    <w:tmpl w:val="6C54609A"/>
    <w:lvl w:ilvl="0" w:tplc="BA5E17F4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  <w:spacing w:val="-2"/>
        <w:kern w:val="16"/>
        <w:position w:val="-2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75294"/>
    <w:multiLevelType w:val="hybridMultilevel"/>
    <w:tmpl w:val="627C9CCC"/>
    <w:lvl w:ilvl="0" w:tplc="0419000F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BDD"/>
    <w:rsid w:val="0009273F"/>
    <w:rsid w:val="00287FAD"/>
    <w:rsid w:val="003774DE"/>
    <w:rsid w:val="00427C46"/>
    <w:rsid w:val="004730F7"/>
    <w:rsid w:val="00551B8D"/>
    <w:rsid w:val="00900458"/>
    <w:rsid w:val="00AC0BDD"/>
    <w:rsid w:val="00B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258C28-7BD3-4545-A558-39A8C3F0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</w:style>
  <w:style w:type="paragraph" w:styleId="11">
    <w:name w:val="toc 1"/>
    <w:basedOn w:val="a"/>
    <w:next w:val="a"/>
    <w:autoRedefine/>
    <w:uiPriority w:val="99"/>
    <w:semiHidden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uiPriority w:val="99"/>
    <w:semiHidden/>
    <w:pPr>
      <w:ind w:left="240"/>
    </w:pPr>
    <w:rPr>
      <w:smallCaps/>
    </w:rPr>
  </w:style>
  <w:style w:type="paragraph" w:styleId="33">
    <w:name w:val="toc 3"/>
    <w:basedOn w:val="a"/>
    <w:next w:val="a"/>
    <w:autoRedefine/>
    <w:uiPriority w:val="99"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uiPriority w:val="99"/>
    <w:semiHidden/>
    <w:pPr>
      <w:ind w:left="720"/>
    </w:pPr>
  </w:style>
  <w:style w:type="paragraph" w:styleId="5">
    <w:name w:val="toc 5"/>
    <w:basedOn w:val="a"/>
    <w:next w:val="a"/>
    <w:autoRedefine/>
    <w:uiPriority w:val="99"/>
    <w:semiHidden/>
    <w:pPr>
      <w:ind w:left="960"/>
    </w:pPr>
  </w:style>
  <w:style w:type="paragraph" w:styleId="6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Светлана</dc:creator>
  <cp:keywords/>
  <dc:description/>
  <cp:lastModifiedBy>admin</cp:lastModifiedBy>
  <cp:revision>2</cp:revision>
  <cp:lastPrinted>2005-10-26T14:57:00Z</cp:lastPrinted>
  <dcterms:created xsi:type="dcterms:W3CDTF">2014-02-23T02:30:00Z</dcterms:created>
  <dcterms:modified xsi:type="dcterms:W3CDTF">2014-02-23T02:30:00Z</dcterms:modified>
</cp:coreProperties>
</file>