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D1" w:rsidRPr="000126D1" w:rsidRDefault="000126D1" w:rsidP="000126D1">
      <w:pPr>
        <w:spacing w:line="240" w:lineRule="auto"/>
        <w:ind w:firstLine="0"/>
        <w:jc w:val="center"/>
        <w:rPr>
          <w:rFonts w:ascii="Times New Roman" w:hAnsi="Times New Roman" w:cs="Times New Roman"/>
          <w:b/>
          <w:bCs/>
          <w:sz w:val="32"/>
          <w:szCs w:val="32"/>
        </w:rPr>
      </w:pPr>
      <w:r w:rsidRPr="000126D1">
        <w:rPr>
          <w:rFonts w:ascii="Times New Roman" w:hAnsi="Times New Roman" w:cs="Times New Roman"/>
          <w:b/>
          <w:bCs/>
          <w:sz w:val="32"/>
          <w:szCs w:val="32"/>
        </w:rPr>
        <w:t>Биоресурсы Земли</w:t>
      </w:r>
    </w:p>
    <w:p w:rsidR="000126D1" w:rsidRPr="000126D1" w:rsidRDefault="000126D1" w:rsidP="000126D1">
      <w:pPr>
        <w:spacing w:line="240" w:lineRule="auto"/>
        <w:ind w:firstLine="567"/>
        <w:rPr>
          <w:rFonts w:ascii="Times New Roman" w:hAnsi="Times New Roman" w:cs="Times New Roman"/>
          <w:sz w:val="28"/>
          <w:szCs w:val="28"/>
        </w:rPr>
      </w:pPr>
      <w:r w:rsidRPr="000126D1">
        <w:rPr>
          <w:rFonts w:ascii="Times New Roman" w:hAnsi="Times New Roman" w:cs="Times New Roman"/>
          <w:sz w:val="28"/>
          <w:szCs w:val="28"/>
        </w:rPr>
        <w:t>Реферат по экологии выполнила студентка М-я С.В.</w:t>
      </w:r>
    </w:p>
    <w:p w:rsidR="000126D1" w:rsidRPr="000126D1" w:rsidRDefault="000126D1" w:rsidP="000126D1">
      <w:pPr>
        <w:spacing w:line="240" w:lineRule="auto"/>
        <w:ind w:firstLine="567"/>
        <w:rPr>
          <w:rFonts w:ascii="Times New Roman" w:hAnsi="Times New Roman" w:cs="Times New Roman"/>
          <w:sz w:val="28"/>
          <w:szCs w:val="28"/>
        </w:rPr>
      </w:pPr>
      <w:r w:rsidRPr="000126D1">
        <w:rPr>
          <w:rFonts w:ascii="Times New Roman" w:hAnsi="Times New Roman" w:cs="Times New Roman"/>
          <w:sz w:val="28"/>
          <w:szCs w:val="28"/>
        </w:rPr>
        <w:t>Московская Государственная Академия Тонких Химических Технологий им. М.В. Ломоносова</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sz w:val="28"/>
          <w:szCs w:val="28"/>
        </w:rPr>
        <w:t>Москва 2003</w:t>
      </w:r>
      <w:r>
        <w:rPr>
          <w:rFonts w:ascii="Times New Roman" w:hAnsi="Times New Roman" w:cs="Times New Roman"/>
          <w:sz w:val="28"/>
          <w:szCs w:val="28"/>
        </w:rPr>
        <w:t xml:space="preserve"> </w:t>
      </w:r>
      <w:r w:rsidRPr="000126D1">
        <w:rPr>
          <w:rFonts w:ascii="Times New Roman" w:hAnsi="Times New Roman" w:cs="Times New Roman"/>
          <w:sz w:val="28"/>
          <w:szCs w:val="28"/>
        </w:rPr>
        <w:t>г.</w:t>
      </w:r>
    </w:p>
    <w:p w:rsidR="000126D1" w:rsidRPr="000126D1" w:rsidRDefault="000126D1" w:rsidP="000126D1">
      <w:pPr>
        <w:spacing w:line="240" w:lineRule="auto"/>
        <w:ind w:firstLine="0"/>
        <w:jc w:val="center"/>
        <w:rPr>
          <w:rFonts w:ascii="Times New Roman" w:hAnsi="Times New Roman" w:cs="Times New Roman"/>
          <w:b/>
          <w:bCs/>
          <w:sz w:val="28"/>
          <w:szCs w:val="28"/>
        </w:rPr>
      </w:pPr>
      <w:r w:rsidRPr="000126D1">
        <w:rPr>
          <w:rFonts w:ascii="Times New Roman" w:hAnsi="Times New Roman" w:cs="Times New Roman"/>
          <w:b/>
          <w:bCs/>
          <w:sz w:val="28"/>
          <w:szCs w:val="28"/>
        </w:rPr>
        <w:t xml:space="preserve">Введение.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Российская Федерация является крупнейшим государством Земли, занимающим площадь 17075 тыс. кв. км (11,4% суши планеты), она омывается 23 морями. На территории страны имеется более 120000 рек и около 2000000 пресных и соленых озёр, площадь болот достигает почти 1,8 млн. кв. км.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На территории России существуют разнообразные виды животных – 320 видов млекопитающих, около 730 видов птиц, 75 видов рептилий, около 30 видов амфибий, почти 400 видов прибрежных морских рыб и 269 видов рыб пресных вод (по данным Института проблем экологии и эволюции РАН).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Ресурсы животного мира всегда играли существенную роль в жизни народов России. Пользование ресурсами животного мира составляет основу жизни для многих народов, населяющих Российскую Федерацию. Особенно большое значение они имеют для коренных малочисленных народов Севера, Сибири и Дальнего Востока.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Охота и рыболовство являются традиционными видами деятельности для населения России. Ресурсы животного мира создают в значительной мере основу ее экономики и обеспечивают продовольственную безопасность страны. Даже самые страшные потрясения для России – легкая качка в море, пока её несметные природные ресурсы обещают сносное питание народам и свет в домах. Возможно, так всё и продолжалось бы достаточно долго, но биоресурсы России взывают о помощи. Нуждается в правовой охране и животный мир Российской Федерации.</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В настоящее время большинству видов животных не грозит полное исчезновение. Однако число редких животных, находящихся под угрозой исчезновения, постоянно возрастает. Численность популяции большинства видов промысловых птиц остается стабильной. Но по всем видам диких копытных животных наблюдается сокращение поголовья, что объясняется общим ухудшением социально-экономической обстановки в России и связанным с этим ростом браконьерства.</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Согласно официальной статистике, отмечается снижение уловов рыбы во всех внутренних водоемах Российской Федерации. Запасы ценных видов рыб тоже сокращаются из-за браконьерства, высокой интенсивности промысла.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В основных районах рыболовства приобрела угрожающие размеры противоправная деятельность по промыслу, переработке и сбыту рыбы и других морских продуктов. </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Для примера можно рассмотреть биоресурсы Каспия. Ценнейший биоресурс Каспия — последнее в мире крупное стадо осетровых, здесь вылавливается до 90% от всего мирового объема их добычи. Но уловы осетровых резко падают: если в начале 80-х годов вылавливалось до 16 тысяч тонн осетровых в год, то в 1994 году улов составил всего 4 тысячи тонн. И это несмотря на энергичные меры по искусственному разведению осетровых, которое осуществляется на 7 российских и 2 иранских рыбоводных заводах.</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Можно с уверенностью назвать две основные причины сокращения стада осетровых.</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Одна — резкое ухудшение экологической обстановки на реках, впадающих в Каспий, в первую очередь Волге, которую сегодня можно с полным основанием назвать не только главной улицей России, но и главной сточной канавой России.</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Другая причина — браконьерство, включая морской лов. По нашим оценкам, несмотря на принимаемые правоохранительными органами меры, браконьеры изымают не менее 60% промыслового вылова осетровых.</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По мнению специалистов, такое хищническое изъятие осетровых подорвет способность этого стада к воспроизводству в течение 1—2 сезонов. Уже сейчас научные работники рекомендуют ввести круглогодичный запрет на лов осетровых — стоит ли говорить, насколько проблематично выполнение такой рекомендации, особенно в акватории Каспия.</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 xml:space="preserve">Решить эту проблему может только всеобъемлющее международное соглашение по биоресурсам. Первые шаги к его разработке уже сделаны. Еще в 1991 году астраханские специалисты подготовили проект конвенции об охране и рациональном использовании природных ресурсов Каспийского моря. На этой основе в 1992—1993 гг. появился проект Соглашения о сохранении и использовании биоресурсов Каспийского моря. </w:t>
      </w:r>
    </w:p>
    <w:p w:rsidR="000126D1" w:rsidRPr="000126D1" w:rsidRDefault="000126D1" w:rsidP="000126D1">
      <w:pPr>
        <w:spacing w:line="240" w:lineRule="auto"/>
        <w:ind w:firstLine="0"/>
        <w:jc w:val="center"/>
        <w:rPr>
          <w:rFonts w:ascii="Times New Roman" w:hAnsi="Times New Roman" w:cs="Times New Roman"/>
          <w:b/>
          <w:bCs/>
          <w:sz w:val="28"/>
          <w:szCs w:val="28"/>
        </w:rPr>
      </w:pPr>
      <w:r w:rsidRPr="000126D1">
        <w:rPr>
          <w:rFonts w:ascii="Times New Roman" w:hAnsi="Times New Roman" w:cs="Times New Roman"/>
          <w:b/>
          <w:bCs/>
          <w:sz w:val="28"/>
          <w:szCs w:val="28"/>
        </w:rPr>
        <w:t>Водные биоресурсы и их рациональное использование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В результате роста и размножения гидробиоитов в водоемах происходит непрерывное образование биомассы. Это экосистемное явление называют биологической продуктивностью, сам процесс образования биомассы – биологическим продуцированием, а новообразованную биомассу – биологической продукцией. Биологическая продукция – только часть биоорганической продукции – всего органического вещества, создаваемого организмами в процессе своей жизнедеятельности. Биопродуктивность экосистем реализуется в форме образования организмов, полезных, безразличных или вредных для человека. В связи с этим, исходя из текущих запросов практики можно говорить о биохозяйственной продукции – биомассе организмов, имеющих в настоящее время промысловое значение. Вне зависимости от интересов практики различают продукцию первичную и вторичную. Первая представляет собой результат биосинтеза органического вещества из неорганического в процессе жизнедеятельности гидробиантов-автотрофов. Вторичная продукция образуется в процессе трансформации уже имеющегося органического вещества организмами-гетеротрофами.</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Биопродуктивность гидросистем можно рассматривать в двух планах: природном (биосферном) и социально экономическом. В первом случае результаты продуцирования безотносительно к интересам человека, как одну из особенностей круговорота веществ в экосистеме, как одну из функций экосистем – блоков биосферы. С социально-экономической точки зрения биопродуктивность характеризуется величиной вылова гидробиантов, используемых человеком. В этом случае продуктивность определяется как свойствами самих эксплуатируемых экосистем, так и формой их хозяйственного освоения.</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Организмы, используемые в качестве объектов промысла, образуют биологические ресурсы водоемов. В историческом процессе становления природы для человека все большее число гидробиантов вовлекается в сферу общественного производства и становится биоресурсами людей. Гидробианты, в воспроизводство которых вкладывается труд -это уже не биоресурсы, а возделываемое сырье.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Из огромного числа гидробиоитов только очень немногие представители флоры и фауны используются человеком в качестве биологического сырья. Этим в значительной мере объясняется тот факт, что водные растения и животные составляют 3% в пище людей, хотя первичная продукция гидросферы только в 3 раза меньше первичной продукции суши. Поэтому перспективная оценка биологических ресурсов гидросферы должна исходить не только из учета возможного вылова объектов, добываемых в настоящее время.</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В отличие от полезных ископаемых, биологические ресурсы относятся к самовоспроизводящимся. Следовательно, их величина в гидросфере определяется не количеством имеющихся промысловых организмов, а их приростом, т.е. продукцией. Мерой реализации этой продукции служит промысел.</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Объем устойчивого промысла водных организмов определяется величиной их естественного воспроизводства. Поэтому промысел не должен превысить естественных природных популяций и учитывать особенности их воспроизводства (сроки, места, орудия лова и т.д.). Охрана и повышение эффективности естественного воспроизводства представляют собой важную меру укрепления сырьевой базы промысла, равно как и обогащение водоемов, новыми промысловыми объектами за счет акклиматизации.</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Промысел водных организмов не всегда легко отличить от "урожая" при искусственном разведении, т.к. существует множество переходных форм между этими двумя видами биосырья.</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В настоящее время мировой промысел гидробиоитов составляет около 20% животных белков, потребляемых человеком. До начала 70-х годов он быстро возрастал, затем стабилизировался. Среди рыб значительную долю в промысле составляют сельдевые, тресковые, скумбриевые и ставридовые. В меньшем количестве добываются тунцовые, мерлузовые и комбаловые, еще меньше отлавливаются лососевые.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Среди нерыбных объектов, добываемых в водоемах в настоящее время, первое место по массе занимают моллюски. Из них в наибольшем количестве добываются двустворчатые моллюски, в значительном количестве - головоногие моллюски (больше половины из них -кальмары). Из ракообразных наибольшую роль в промысле играют крабы и креветки.</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Мировой промысел гидрофитов основан преимущественно на добыче красных и бурых водорослей. В гораздо меньшем количестве добывают зеленые. Значительная часть водорослей используется для йода и других технических и медицинских продуктов.</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В настоящее время уровень использования гидробиоитов в отношении большинства традиционных объектов промысла достиг величин, близких к предельным. Во многих случаях наблюдается перелов гидробиоитов; что означает, что воспроизводительная способность их популяций уже не может компенсировать убыль в результате промысла. В 1770г. был убит последний экземпляр замечательного растительноядного млекопитающего – стеллеровой (морской) коровы. Почти исчез в наше время гренландский кит, взятый под охрану слишком поздно, под угрозой исчезновения находится синий кит. Среди рыб наблюдается перелов многих легко поддающихся добыче камбал, сельдей. В ряде районов в чрезвычайно напряженном состоянии находятся запасы крабов. Поэтому с необычайной остротой встает вопрос об охране и повышении естественного воспроизводства биоресурсов.</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Серьезный вред воспроизводству промысловых гидробиоитов может наносить гидротехническое строительство, в частности сооружение плотин, перерезающих естественные миграционные пути рыб. Например, гидростроительство на Волге и Куре резко нарушило условия естественного размножения осетровых, в связи с чем пришлось принять меры по организации искусственного воспроизводства. Огромное количество молоди гибнет, попадая в оросительные системы и в турбины гидроэлектростанций. Для предупреждения захода молоди в каналы оросительной системы, в турбины электростанций создают различные заградители, в частности электрические.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Естественное воспроизводство промысловых организмов часто подрывает неправильная организация их вылова. В связи с этим необходимо научное обоснование регулирования промысла: оно должно сводится не только к установлению необходимого объема вылова, но и к установлению сроков и мест промысла, регламентирование способов и орудий лова.</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Проблема охраны, повышения эффективности естественного воспроизводства биоресурсов осложняется тем, что приходится в решать в условиях комплексного использования водоемов, учитывая интересы самых разных отраслей народного хозяйства связанных с использованием водоемов.</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Большое значение для усиления естественного воспроизводства промысловых организмов имеет борьба с их пищевыми конкурентами, врагами и паразитами. Огромное количество рыб погибает от вирусных и бактериальных заболеваний. Основной элемент в комплексе мер борьбы с паразитами прудовых рыб -профилактика заболеваний, в частности контроль за перевозками рыб. Помимо комплекса профилактических мероприятий, проводятся лечебные.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Термином "акклиматизация" обозначают целенаправленную деятельность человека по обогащению флоры и фауны новыми компонентами. В биологическом смысле под акклиматизацией понимают приспособление организмов к существованию за пределами собственного ареала после переселения в новые места обитания. Акклиматизация характеризуется не только выживанием и размножением переселенных особей, но и нормальным развитием последующих поколений, т.е. натурализацией вида.</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Из промысловых организмов акклиматизируются рыбы, ракообразные, моллюски и водные млекопитающие.</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Акклиматизация организмов является одной из первых составляющих частей аквакультуры (в узком смысле слова "аквакультура" понимается как промышленное выращивание гидробиантов по определенной технологической схеме с контролем над всеми основными звеньями процесса). Дальнейшее развитие аквакультуры сводится к преобразованию экосистем, их конструированию в интересах оптимизации производства биосырья в водоемах.</w:t>
      </w:r>
    </w:p>
    <w:p w:rsidR="000126D1" w:rsidRPr="000126D1" w:rsidRDefault="000126D1" w:rsidP="000126D1">
      <w:pPr>
        <w:spacing w:line="240" w:lineRule="auto"/>
        <w:ind w:firstLine="0"/>
        <w:jc w:val="center"/>
        <w:rPr>
          <w:rFonts w:ascii="Times New Roman" w:hAnsi="Times New Roman" w:cs="Times New Roman"/>
          <w:b/>
          <w:bCs/>
          <w:sz w:val="28"/>
          <w:szCs w:val="28"/>
        </w:rPr>
      </w:pPr>
      <w:r w:rsidRPr="000126D1">
        <w:rPr>
          <w:rFonts w:ascii="Times New Roman" w:hAnsi="Times New Roman" w:cs="Times New Roman"/>
          <w:b/>
          <w:bCs/>
          <w:sz w:val="28"/>
          <w:szCs w:val="28"/>
        </w:rPr>
        <w:t>Гидробиология, М., 1985г.</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Биология и экология водных организмов, Л.,1987г.</w:t>
      </w:r>
    </w:p>
    <w:p w:rsidR="000126D1" w:rsidRP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Теоретическая экология, М.,1987г.</w:t>
      </w:r>
    </w:p>
    <w:p w:rsidR="000126D1" w:rsidRDefault="000126D1" w:rsidP="000126D1">
      <w:pPr>
        <w:spacing w:line="240" w:lineRule="auto"/>
        <w:ind w:firstLine="567"/>
        <w:rPr>
          <w:rFonts w:ascii="Times New Roman" w:hAnsi="Times New Roman" w:cs="Times New Roman"/>
        </w:rPr>
      </w:pPr>
      <w:r w:rsidRPr="000126D1">
        <w:rPr>
          <w:rFonts w:ascii="Times New Roman" w:hAnsi="Times New Roman" w:cs="Times New Roman"/>
        </w:rPr>
        <w:t>Бернард Небел «Наука об окружающей среде» (В 2-ух томах), «МИР» М. 1993</w:t>
      </w:r>
    </w:p>
    <w:p w:rsidR="000126D1" w:rsidRPr="000126D1" w:rsidRDefault="000126D1" w:rsidP="000126D1">
      <w:pPr>
        <w:spacing w:line="240" w:lineRule="auto"/>
        <w:ind w:firstLine="567"/>
        <w:rPr>
          <w:rFonts w:ascii="Times New Roman" w:hAnsi="Times New Roman" w:cs="Times New Roman"/>
        </w:rPr>
      </w:pPr>
      <w:bookmarkStart w:id="0" w:name="_GoBack"/>
      <w:bookmarkEnd w:id="0"/>
    </w:p>
    <w:sectPr w:rsidR="000126D1" w:rsidRPr="000126D1" w:rsidSect="000126D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6D1" w:rsidRDefault="000126D1">
      <w:r>
        <w:separator/>
      </w:r>
    </w:p>
  </w:endnote>
  <w:endnote w:type="continuationSeparator" w:id="0">
    <w:p w:rsidR="000126D1" w:rsidRDefault="0001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6D1" w:rsidRDefault="000126D1">
      <w:r>
        <w:separator/>
      </w:r>
    </w:p>
  </w:footnote>
  <w:footnote w:type="continuationSeparator" w:id="0">
    <w:p w:rsidR="000126D1" w:rsidRDefault="00012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2771"/>
    <w:multiLevelType w:val="hybridMultilevel"/>
    <w:tmpl w:val="CADCD32A"/>
    <w:lvl w:ilvl="0" w:tplc="36F017F0">
      <w:start w:val="1"/>
      <w:numFmt w:val="decimal"/>
      <w:lvlText w:val="%1."/>
      <w:lvlJc w:val="left"/>
      <w:pPr>
        <w:tabs>
          <w:tab w:val="num" w:pos="831"/>
        </w:tabs>
        <w:ind w:left="831" w:hanging="360"/>
      </w:pPr>
      <w:rPr>
        <w:rFonts w:hint="default"/>
      </w:rPr>
    </w:lvl>
    <w:lvl w:ilvl="1" w:tplc="04190019">
      <w:start w:val="1"/>
      <w:numFmt w:val="lowerLetter"/>
      <w:lvlText w:val="%2."/>
      <w:lvlJc w:val="left"/>
      <w:pPr>
        <w:tabs>
          <w:tab w:val="num" w:pos="1551"/>
        </w:tabs>
        <w:ind w:left="1551" w:hanging="360"/>
      </w:pPr>
    </w:lvl>
    <w:lvl w:ilvl="2" w:tplc="0419001B">
      <w:start w:val="1"/>
      <w:numFmt w:val="lowerRoman"/>
      <w:lvlText w:val="%3."/>
      <w:lvlJc w:val="right"/>
      <w:pPr>
        <w:tabs>
          <w:tab w:val="num" w:pos="2271"/>
        </w:tabs>
        <w:ind w:left="2271" w:hanging="180"/>
      </w:pPr>
    </w:lvl>
    <w:lvl w:ilvl="3" w:tplc="0419000F">
      <w:start w:val="1"/>
      <w:numFmt w:val="decimal"/>
      <w:lvlText w:val="%4."/>
      <w:lvlJc w:val="left"/>
      <w:pPr>
        <w:tabs>
          <w:tab w:val="num" w:pos="2991"/>
        </w:tabs>
        <w:ind w:left="2991" w:hanging="360"/>
      </w:pPr>
    </w:lvl>
    <w:lvl w:ilvl="4" w:tplc="04190019">
      <w:start w:val="1"/>
      <w:numFmt w:val="lowerLetter"/>
      <w:lvlText w:val="%5."/>
      <w:lvlJc w:val="left"/>
      <w:pPr>
        <w:tabs>
          <w:tab w:val="num" w:pos="3711"/>
        </w:tabs>
        <w:ind w:left="3711" w:hanging="360"/>
      </w:pPr>
    </w:lvl>
    <w:lvl w:ilvl="5" w:tplc="0419001B">
      <w:start w:val="1"/>
      <w:numFmt w:val="lowerRoman"/>
      <w:lvlText w:val="%6."/>
      <w:lvlJc w:val="right"/>
      <w:pPr>
        <w:tabs>
          <w:tab w:val="num" w:pos="4431"/>
        </w:tabs>
        <w:ind w:left="4431" w:hanging="180"/>
      </w:pPr>
    </w:lvl>
    <w:lvl w:ilvl="6" w:tplc="0419000F">
      <w:start w:val="1"/>
      <w:numFmt w:val="decimal"/>
      <w:lvlText w:val="%7."/>
      <w:lvlJc w:val="left"/>
      <w:pPr>
        <w:tabs>
          <w:tab w:val="num" w:pos="5151"/>
        </w:tabs>
        <w:ind w:left="5151" w:hanging="360"/>
      </w:pPr>
    </w:lvl>
    <w:lvl w:ilvl="7" w:tplc="04190019">
      <w:start w:val="1"/>
      <w:numFmt w:val="lowerLetter"/>
      <w:lvlText w:val="%8."/>
      <w:lvlJc w:val="left"/>
      <w:pPr>
        <w:tabs>
          <w:tab w:val="num" w:pos="5871"/>
        </w:tabs>
        <w:ind w:left="5871" w:hanging="360"/>
      </w:pPr>
    </w:lvl>
    <w:lvl w:ilvl="8" w:tplc="0419001B">
      <w:start w:val="1"/>
      <w:numFmt w:val="lowerRoman"/>
      <w:lvlText w:val="%9."/>
      <w:lvlJc w:val="right"/>
      <w:pPr>
        <w:tabs>
          <w:tab w:val="num" w:pos="6591"/>
        </w:tabs>
        <w:ind w:left="6591" w:hanging="180"/>
      </w:pPr>
    </w:lvl>
  </w:abstractNum>
  <w:abstractNum w:abstractNumId="1">
    <w:nsid w:val="7B496C4C"/>
    <w:multiLevelType w:val="hybridMultilevel"/>
    <w:tmpl w:val="6548D160"/>
    <w:lvl w:ilvl="0" w:tplc="0E449428">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26D1"/>
    <w:rsid w:val="000126D1"/>
    <w:rsid w:val="00167941"/>
    <w:rsid w:val="002C7CE6"/>
    <w:rsid w:val="007541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BDD4F5-D8C1-46C7-9300-54DA45F0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360" w:lineRule="auto"/>
      <w:ind w:firstLine="709"/>
      <w:jc w:val="both"/>
    </w:pPr>
    <w:rPr>
      <w:rFonts w:ascii="Bookman Old Style" w:hAnsi="Bookman Old Style" w:cs="Bookman Old Style"/>
      <w:sz w:val="24"/>
      <w:szCs w:val="24"/>
      <w:lang w:val="ru-RU" w:eastAsia="ru-RU"/>
    </w:rPr>
  </w:style>
  <w:style w:type="paragraph" w:styleId="1">
    <w:name w:val="heading 1"/>
    <w:basedOn w:val="a"/>
    <w:next w:val="a"/>
    <w:link w:val="10"/>
    <w:uiPriority w:val="99"/>
    <w:qFormat/>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Title"/>
    <w:basedOn w:val="a"/>
    <w:link w:val="a4"/>
    <w:uiPriority w:val="99"/>
    <w:qFormat/>
    <w:pPr>
      <w:ind w:firstLine="0"/>
      <w:jc w:val="center"/>
    </w:pPr>
    <w:rPr>
      <w:b/>
      <w:bC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2">
    <w:name w:val="Body Text 2"/>
    <w:basedOn w:val="a"/>
    <w:link w:val="20"/>
    <w:uiPriority w:val="99"/>
    <w:pPr>
      <w:spacing w:line="480" w:lineRule="auto"/>
    </w:pPr>
  </w:style>
  <w:style w:type="character" w:customStyle="1" w:styleId="20">
    <w:name w:val="Основной текст 2 Знак"/>
    <w:basedOn w:val="a0"/>
    <w:link w:val="2"/>
    <w:uiPriority w:val="99"/>
    <w:semiHidden/>
    <w:rPr>
      <w:rFonts w:ascii="Bookman Old Style" w:hAnsi="Bookman Old Style" w:cs="Bookman Old Style"/>
      <w:sz w:val="24"/>
      <w:szCs w:val="24"/>
      <w:lang w:val="ru-RU" w:eastAsia="ru-RU"/>
    </w:rPr>
  </w:style>
  <w:style w:type="paragraph" w:styleId="a5">
    <w:name w:val="endnote text"/>
    <w:basedOn w:val="a"/>
    <w:link w:val="a6"/>
    <w:uiPriority w:val="99"/>
    <w:semiHidden/>
    <w:pPr>
      <w:ind w:firstLine="0"/>
      <w:jc w:val="left"/>
    </w:pPr>
    <w:rPr>
      <w:sz w:val="20"/>
      <w:szCs w:val="20"/>
    </w:rPr>
  </w:style>
  <w:style w:type="character" w:customStyle="1" w:styleId="a6">
    <w:name w:val="Текст концевой сноски Знак"/>
    <w:basedOn w:val="a0"/>
    <w:link w:val="a5"/>
    <w:uiPriority w:val="99"/>
    <w:semiHidden/>
    <w:rPr>
      <w:rFonts w:ascii="Bookman Old Style" w:hAnsi="Bookman Old Style" w:cs="Bookman Old Style"/>
      <w:sz w:val="20"/>
      <w:szCs w:val="20"/>
      <w:lang w:val="ru-RU" w:eastAsia="ru-RU"/>
    </w:rPr>
  </w:style>
  <w:style w:type="paragraph" w:customStyle="1" w:styleId="a7">
    <w:name w:val="мой стиль"/>
    <w:basedOn w:val="a"/>
    <w:uiPriority w:val="99"/>
    <w:pPr>
      <w:framePr w:hSpace="181" w:vSpace="181" w:wrap="notBeside" w:vAnchor="text" w:hAnchor="text" w:y="1"/>
      <w:ind w:firstLine="680"/>
    </w:pPr>
  </w:style>
  <w:style w:type="paragraph" w:styleId="a8">
    <w:name w:val="Normal (Web)"/>
    <w:basedOn w:val="a"/>
    <w:uiPriority w:val="99"/>
    <w:pPr>
      <w:spacing w:before="100" w:beforeAutospacing="1" w:after="100" w:afterAutospacing="1"/>
      <w:ind w:firstLine="0"/>
      <w:jc w:val="left"/>
    </w:pPr>
    <w:rPr>
      <w:rFonts w:ascii="Arial Unicode MS" w:eastAsia="Arial Unicode MS" w:cs="Arial Unicode MS"/>
    </w:rPr>
  </w:style>
  <w:style w:type="paragraph" w:customStyle="1" w:styleId="text">
    <w:name w:val="text"/>
    <w:basedOn w:val="a"/>
    <w:uiPriority w:val="99"/>
    <w:pPr>
      <w:spacing w:before="100" w:beforeAutospacing="1" w:after="100" w:afterAutospacing="1"/>
      <w:ind w:firstLine="240"/>
    </w:pPr>
    <w:rPr>
      <w:rFonts w:ascii="Times" w:hAnsi="Times" w:cs="Times"/>
    </w:rPr>
  </w:style>
  <w:style w:type="paragraph" w:styleId="21">
    <w:name w:val="Body Text Indent 2"/>
    <w:basedOn w:val="a"/>
    <w:link w:val="22"/>
    <w:uiPriority w:val="99"/>
    <w:pPr>
      <w:ind w:firstLine="426"/>
    </w:pPr>
  </w:style>
  <w:style w:type="character" w:customStyle="1" w:styleId="22">
    <w:name w:val="Основной текст с отступом 2 Знак"/>
    <w:basedOn w:val="a0"/>
    <w:link w:val="21"/>
    <w:uiPriority w:val="99"/>
    <w:semiHidden/>
    <w:rPr>
      <w:rFonts w:ascii="Bookman Old Style" w:hAnsi="Bookman Old Style" w:cs="Bookman Old Style"/>
      <w:sz w:val="24"/>
      <w:szCs w:val="24"/>
      <w:lang w:val="ru-RU" w:eastAsia="ru-RU"/>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basedOn w:val="a0"/>
    <w:link w:val="a9"/>
    <w:uiPriority w:val="99"/>
    <w:semiHidden/>
    <w:rPr>
      <w:rFonts w:ascii="Bookman Old Style" w:hAnsi="Bookman Old Style" w:cs="Bookman Old Style"/>
      <w:sz w:val="24"/>
      <w:szCs w:val="24"/>
      <w:lang w:val="ru-RU" w:eastAsia="ru-RU"/>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rFonts w:ascii="Bookman Old Style" w:hAnsi="Bookman Old Style" w:cs="Bookman Old Style"/>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7679</Words>
  <Characters>4378</Characters>
  <Application>Microsoft Office Word</Application>
  <DocSecurity>0</DocSecurity>
  <Lines>36</Lines>
  <Paragraphs>24</Paragraphs>
  <ScaleCrop>false</ScaleCrop>
  <Company>1</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 Тонких Химических </dc:title>
  <dc:subject/>
  <dc:creator>12345</dc:creator>
  <cp:keywords/>
  <dc:description/>
  <cp:lastModifiedBy>admin</cp:lastModifiedBy>
  <cp:revision>2</cp:revision>
  <dcterms:created xsi:type="dcterms:W3CDTF">2014-01-25T16:29:00Z</dcterms:created>
  <dcterms:modified xsi:type="dcterms:W3CDTF">2014-01-25T16:29:00Z</dcterms:modified>
</cp:coreProperties>
</file>