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 1</w:t>
      </w:r>
    </w:p>
    <w:p w:rsidR="0051153B" w:rsidRDefault="0051153B">
      <w:pPr>
        <w:spacing w:line="360" w:lineRule="auto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>Почему возникла необходимость в проведения аудита и кто является пользователем услуг аудитора?</w:t>
      </w:r>
    </w:p>
    <w:p w:rsidR="0051153B" w:rsidRDefault="0051153B">
      <w:pPr>
        <w:pStyle w:val="a3"/>
        <w:spacing w:line="360" w:lineRule="auto"/>
      </w:pPr>
      <w:r>
        <w:t>Ответ:</w:t>
      </w:r>
    </w:p>
    <w:p w:rsidR="0051153B" w:rsidRDefault="0051153B">
      <w:pPr>
        <w:pStyle w:val="a4"/>
        <w:rPr>
          <w:b/>
          <w:bCs/>
        </w:rPr>
      </w:pPr>
      <w:r>
        <w:rPr>
          <w:b/>
          <w:bCs/>
        </w:rPr>
        <w:t>Потребность в услугах аудитора возникла в связи со следующими обстоятельствами:</w:t>
      </w:r>
    </w:p>
    <w:p w:rsidR="0051153B" w:rsidRDefault="0051153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1) возможность необъективной информации со стороны администрации в случаях конфликта между ею и пользователями этой информации (собственниками, инвесторами, кредиторами);</w:t>
      </w:r>
    </w:p>
    <w:p w:rsidR="0051153B" w:rsidRDefault="0051153B">
      <w:pPr>
        <w:pStyle w:val="2"/>
        <w:ind w:firstLine="720"/>
        <w:rPr>
          <w:b/>
          <w:bCs/>
        </w:rPr>
      </w:pPr>
      <w:r>
        <w:rPr>
          <w:b/>
          <w:bCs/>
        </w:rPr>
        <w:t>2) зависимость последствий принятых решений (а они могут быть весьма значительны) от качества информации;</w:t>
      </w:r>
    </w:p>
    <w:p w:rsidR="0051153B" w:rsidRDefault="0051153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3) необходимость специальных знаний для проверки информации;</w:t>
      </w:r>
    </w:p>
    <w:p w:rsidR="0051153B" w:rsidRDefault="0051153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4) частое отсутствие у пользователей информации доступа для оценки ее качества. </w:t>
      </w:r>
    </w:p>
    <w:p w:rsidR="0051153B" w:rsidRDefault="0051153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Все эти предпосылки привели к возникновению общественной потребности в услугах независимых экспертов, имеющих соответствующие подготовку, квалификацию, опыт и разрешение на право оказания такого рода услуг. Аудиторские услуги - это услуги посредников, устанавливающих достоверность финансовой информации.</w:t>
      </w:r>
    </w:p>
    <w:p w:rsidR="0051153B" w:rsidRDefault="0051153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решений.</w:t>
      </w:r>
    </w:p>
    <w:p w:rsidR="0051153B" w:rsidRDefault="0051153B">
      <w:pPr>
        <w:spacing w:line="360" w:lineRule="auto"/>
        <w:ind w:firstLine="720"/>
        <w:jc w:val="both"/>
      </w:pPr>
      <w:r>
        <w:rPr>
          <w:b/>
          <w:bCs/>
          <w:sz w:val="28"/>
        </w:rPr>
        <w:t>Пользователями аудиторской проверки являются: государственные органы, суды, прокуроры и следователи для подтверждения достоверности интересующей их финансовой отчетности. Так же лица определенные законом на проведение обязательного аудита: открытые акционерные общества, предприятия с долей иностранного капитала, банки, страховые и инвестиционные компании, пенсионные фонды, биржи, предприятия выручка которых превышает в 500 раз МРОТ или сумма активов баланса превышает в 200 раз МРОТ и другие предприятия желающие воспользоваться прочими услугами аудиторов.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 2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На какие экономические субъекты может быть направлена аудиторская деятельность?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Аудиторская фирма не может иметь организационно правовую форму открытого акционерного общества.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№3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Аудиторскими доказательствами являются: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Б) информация, собранная аудитором в ходе проверки.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№4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Какова сущность документации аудитора, как она подготавливается и какая её роль в выполнения аудиторской работы?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>Ход аудиторской проверки и ее результаты должны быть документально оформлены.  Рабочие документы аудитора - это записи аудиторов,  соответствующие общепринятым стандартам.   В  них  содержатся обоснования выбора необходимых в данных условиях процедур и  других решений,  принимаемых в ходе проверки.  Рабочие документы  можно разделить на: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непрерывно ведущиеся документы;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аудиторские административные документы;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документы аудиторской информации;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 xml:space="preserve">- заключительные документы. 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 xml:space="preserve">Непрерывно ведущиеся документы содержат информацию  по  вопросам, которые интересуют аудитора в течение многих лет проверки  одного и того же клиента.  Это копии Устава,   копии  текущих  контрактов, заметки о предприятии,  его продукции,  копии  протоколов  собраний акционеров,   Совета  директоров  (если  это  АО),   продолжающиеся реестры счетов,  остатки по которым переносят вперед на  несколько лет,  например,  акционерного капитала,  финансовые отчеты  и  аудиторские отчеты прошлых лет. 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 xml:space="preserve">Текущая аудиторская административная документация - это  документы начальных стадий  планирования  проверки.   Сюда  обычно входят: письмо о приглашении аудиторов или договор на проведение аудиторской проверки,  документ о  назначении  аудиторов  для  выполнения проверки,  докладная записка о встречах с руководством  предприятия-клиента,  предварительный аналитический обзор,  начальные оценки эффективности и материальности,  памятная записка о  планировании,  расписание проверки,  вопросник по внутреннему контролю,  вопросник по управленческому контролю,   вопросник  по  компьютерному контролю,  оценка системы внутреннего контроля,  аудиторская  программа,  рабочий пробный баланс счетов Главной книги,  рабочие документы о предварительных корректировках и  переклассификации  статей отчетности,  докладная записка о результатах анализа  и  незавершенных процедурах (ближе к окончанию проверки). 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 xml:space="preserve">Документы аудиторской информации содержат информацию по  основным вопросам проверки,  записи  о  выполненных  процедурах,   решения, принятые в ходе проверки, аудиторские свидетельства.  Эти  документы свидетельствуют о качестве проверки,  на их  основании  составляются выводы,  а затем квалифицированное аудиторское заключение. 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 xml:space="preserve">Заключительные документы составляются на последней  стадии  аудиторской проверки. </w:t>
      </w:r>
    </w:p>
    <w:p w:rsidR="0051153B" w:rsidRDefault="0051153B">
      <w:pPr>
        <w:pStyle w:val="20"/>
        <w:rPr>
          <w:rFonts w:eastAsia="MS Mincho"/>
        </w:rPr>
      </w:pPr>
      <w:r>
        <w:rPr>
          <w:rFonts w:eastAsia="MS Mincho"/>
        </w:rPr>
        <w:t xml:space="preserve">Документы аудитора,  кроме аудиторского заключения,  являются  конфиденциальными.  Методика их  ведения - коммерческая  тайна,   если это необходимо.  Состав и количество аудиторских документов  определяется в каждом конкретном случае.  Документы должны быть  ясными,  четкими,  полными и аккуратно  оформленными.   Каждый  документ должен иметь все необходимые реквизиты,  порядковый номер и на нем должна быть указана страница его расположения в аудиторском досье.  </w:t>
      </w:r>
    </w:p>
    <w:p w:rsidR="0051153B" w:rsidRDefault="0051153B">
      <w:pPr>
        <w:pStyle w:val="a3"/>
        <w:spacing w:line="360" w:lineRule="auto"/>
        <w:ind w:firstLine="720"/>
        <w:rPr>
          <w:rFonts w:eastAsia="MS Mincho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Три группы документов:</w:t>
      </w:r>
    </w:p>
    <w:p w:rsidR="0051153B" w:rsidRDefault="0051153B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Копии документов клиента</w:t>
      </w:r>
    </w:p>
    <w:p w:rsidR="0051153B" w:rsidRDefault="0051153B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Документы составляемые аудитором </w:t>
      </w:r>
    </w:p>
    <w:p w:rsidR="0051153B" w:rsidRDefault="0051153B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Переписка с клиентом по договору проверки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В документы составляемые аудитором входит:</w:t>
      </w:r>
    </w:p>
    <w:p w:rsidR="0051153B" w:rsidRDefault="0051153B">
      <w:pPr>
        <w:numPr>
          <w:ilvl w:val="1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Результаты изучения и оценки системы внутреннего контроля</w:t>
      </w:r>
    </w:p>
    <w:p w:rsidR="0051153B" w:rsidRDefault="0051153B">
      <w:pPr>
        <w:numPr>
          <w:ilvl w:val="1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Результаты изучения и оценки системы бухгалтерского учета</w:t>
      </w:r>
    </w:p>
    <w:p w:rsidR="0051153B" w:rsidRDefault="0051153B">
      <w:pPr>
        <w:numPr>
          <w:ilvl w:val="1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Система налогообложения клиента</w:t>
      </w:r>
    </w:p>
    <w:p w:rsidR="0051153B" w:rsidRDefault="0051153B">
      <w:pPr>
        <w:numPr>
          <w:ilvl w:val="1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Таблицы нарушений</w:t>
      </w:r>
    </w:p>
    <w:p w:rsidR="0051153B" w:rsidRDefault="0051153B">
      <w:pPr>
        <w:numPr>
          <w:ilvl w:val="1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Аудиторский отчет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переписку с клиентом по договору проверки входит:</w:t>
      </w:r>
    </w:p>
    <w:p w:rsidR="0051153B" w:rsidRDefault="0051153B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Оферта</w:t>
      </w:r>
    </w:p>
    <w:p w:rsidR="0051153B" w:rsidRDefault="0051153B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Письмо обязательство</w:t>
      </w:r>
    </w:p>
    <w:p w:rsidR="0051153B" w:rsidRDefault="0051153B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Договор</w:t>
      </w:r>
    </w:p>
    <w:p w:rsidR="0051153B" w:rsidRDefault="0051153B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Копии переговоров</w:t>
      </w:r>
    </w:p>
    <w:p w:rsidR="0051153B" w:rsidRDefault="0051153B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Письма</w:t>
      </w:r>
    </w:p>
    <w:p w:rsidR="0051153B" w:rsidRDefault="0051153B">
      <w:pPr>
        <w:spacing w:line="360" w:lineRule="auto"/>
        <w:ind w:left="108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№5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Может ли руководству предприятия представляться кроме заключения, другая информация, с какой целью и в какой форме?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Руководству предприятия кроме заключения могут предоставляться следующая информация:</w:t>
      </w:r>
    </w:p>
    <w:p w:rsidR="0051153B" w:rsidRDefault="0051153B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Копии документов клиента</w:t>
      </w:r>
    </w:p>
    <w:p w:rsidR="0051153B" w:rsidRDefault="0051153B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Документы составляемые аудитором </w:t>
      </w:r>
    </w:p>
    <w:p w:rsidR="0051153B" w:rsidRDefault="0051153B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Переписка с клиентом по договору проверки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Они могут предоставляться для разрешения споров. И другие документы отраженные в вопросе  №4. Все они предоставляются в письменной форме.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№6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На какие этапы можно поделить проведения аудита?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Проводить аудит наиболее рационально по таким стадиям: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определение типа,  структуры предприятия и управления им;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планирование и последующий контроль аудита;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изучение и оценка формы и методов учета;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изучение,  оценка и проверка внутреннего контроля;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проверка хозяйственных операций и учетных регистров;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проверка реальности статей баланса;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проверка соответствия данных бухгалтерской  отчетности  учетным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регистрам;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проверка соответствия прибылей и убытков фактическим  результатам деятельности;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проверка соответствия бухгалтерской отчетности учетной  практике и действующему законодательству;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анализ бухгалтерской отчетности в целом и проверка  аудиторской</w:t>
      </w:r>
    </w:p>
    <w:p w:rsidR="0051153B" w:rsidRDefault="0051153B">
      <w:pPr>
        <w:spacing w:line="360" w:lineRule="auto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работы с целью определения достоверности и объективности информации,  содержащейся в отчетности;</w:t>
      </w:r>
    </w:p>
    <w:p w:rsidR="0051153B" w:rsidRDefault="0051153B">
      <w:pPr>
        <w:spacing w:line="360" w:lineRule="auto"/>
        <w:rPr>
          <w:b/>
          <w:bCs/>
          <w:sz w:val="28"/>
        </w:rPr>
      </w:pPr>
      <w:r>
        <w:rPr>
          <w:rFonts w:eastAsia="MS Mincho"/>
          <w:b/>
          <w:bCs/>
          <w:sz w:val="28"/>
        </w:rPr>
        <w:t>- обобщение результатов проверки и составление аудиторского отчета.</w:t>
      </w:r>
    </w:p>
    <w:p w:rsidR="0051153B" w:rsidRDefault="0051153B">
      <w:pPr>
        <w:pStyle w:val="20"/>
      </w:pPr>
      <w:r>
        <w:t>Предприятие самостоятельно выбирает аудитора или аудиторскую фирму. Ведется переписка  с аудитором, после заключается двухсторонний договор к которому прикладывается протокол согласия о договорной цене на проведения аудиторской проверки. После этого начинается аудиторская проверка той области хозяйственной деятельности, о которой оговорено в договоре. После проверки аудитор составляет аудиторское заключение, которое может быть условно-положительным, безусловно-положительным, отрицательным.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№7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Какие нормативные акты регулируют аудиторскую деятельность?</w:t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Ответ: </w:t>
      </w:r>
    </w:p>
    <w:p w:rsidR="0051153B" w:rsidRDefault="0051153B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8"/>
        </w:rPr>
        <w:t>ГК РФ</w:t>
      </w:r>
    </w:p>
    <w:p w:rsidR="0051153B" w:rsidRDefault="0051153B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8"/>
        </w:rPr>
        <w:t>Закон «Об аудиторской деятельности в РФ» от 7.08.01г. № 119</w:t>
      </w:r>
    </w:p>
    <w:p w:rsidR="0051153B" w:rsidRDefault="0051153B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8"/>
        </w:rPr>
        <w:t>Постановление правительства «О лицензировании отдельных видов аудиторской деятельности в РФ» от 27.04.99г. №472</w:t>
      </w:r>
    </w:p>
    <w:p w:rsidR="0051153B" w:rsidRDefault="0051153B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8"/>
        </w:rPr>
        <w:t>Постановление правительства «Об основных критериях деятельности экономических субъектов по которым их бухгалтерская отчетность подлежит обязательной ежегодной проверки» №1355, 94г.</w:t>
      </w:r>
    </w:p>
    <w:p w:rsidR="0051153B" w:rsidRDefault="0051153B">
      <w:pPr>
        <w:spacing w:line="360" w:lineRule="auto"/>
        <w:ind w:left="360"/>
        <w:jc w:val="both"/>
        <w:rPr>
          <w:sz w:val="28"/>
        </w:rPr>
      </w:pPr>
    </w:p>
    <w:p w:rsidR="0051153B" w:rsidRDefault="0051153B">
      <w:pPr>
        <w:pStyle w:val="1"/>
      </w:pPr>
      <w:r>
        <w:t>Вопрос №8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Что понимается под аудиторской программой  и какие элементы она включает?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В программу аудита входит :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Период  аудита 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Количество человека/часов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Руководитель аудиторской группы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Состав аудита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Аудиторский риск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Уровень существенности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Перечень аудиторских процедур.</w:t>
      </w:r>
    </w:p>
    <w:p w:rsidR="0051153B" w:rsidRDefault="0051153B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Выводы по каждому разделу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b/>
          <w:bCs/>
          <w:sz w:val="28"/>
        </w:rPr>
        <w:t xml:space="preserve">Один из элементов аудиторской программы является план проведения аудита. </w:t>
      </w:r>
      <w:r>
        <w:rPr>
          <w:rFonts w:eastAsia="MS Mincho"/>
          <w:b/>
          <w:bCs/>
          <w:sz w:val="28"/>
        </w:rPr>
        <w:t>При составлении общего плана проведения аудита  целесообразно предусмотреть следующие вопросы: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условия договора на выполнение аудита;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содержание аудиторского отчета,  сроки его предоставления и другие способы передачи информации клиенту;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установленная законом ответственность аудитора;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ответственность клиента за предоставленную бухгалтерскую отчетность и полноту другой необходимой информации;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применяемая форма бухгалтерского учета;</w:t>
      </w:r>
      <w:r>
        <w:rPr>
          <w:rFonts w:eastAsia="MS Mincho"/>
          <w:b/>
          <w:bCs/>
          <w:sz w:val="28"/>
        </w:rPr>
        <w:cr/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воздействие на аудит новых бухгалтерских  или  аудиторских  инструкций,  нормативов,  законов в ходе аудиторских проверок;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установление уровней существенности решаемых задач;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определение наиболее важных этапов и задач аудита;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степень доверия к форме бухгалтерского учета и внутреннему контролю;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работа внутренних аудиторов и масштабы их привлечения;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сущность и объем аудиторских доказательств;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условия,  требующие особого внимания (возможность ошибки,   обмана и др. );</w:t>
      </w:r>
    </w:p>
    <w:p w:rsidR="0051153B" w:rsidRDefault="0051153B">
      <w:pPr>
        <w:spacing w:line="360" w:lineRule="auto"/>
        <w:jc w:val="both"/>
        <w:rPr>
          <w:rFonts w:eastAsia="MS Mincho"/>
          <w:b/>
          <w:bCs/>
          <w:sz w:val="28"/>
        </w:rPr>
      </w:pPr>
      <w:r>
        <w:rPr>
          <w:rFonts w:eastAsia="MS Mincho"/>
          <w:b/>
          <w:bCs/>
          <w:sz w:val="28"/>
        </w:rPr>
        <w:t>- аудиторский риск;</w:t>
      </w:r>
      <w:r>
        <w:rPr>
          <w:rFonts w:eastAsia="MS Mincho"/>
          <w:b/>
          <w:bCs/>
          <w:sz w:val="28"/>
        </w:rPr>
        <w:cr/>
      </w:r>
    </w:p>
    <w:p w:rsidR="0051153B" w:rsidRDefault="0051153B">
      <w:pPr>
        <w:spacing w:line="360" w:lineRule="auto"/>
        <w:jc w:val="both"/>
        <w:rPr>
          <w:b/>
          <w:bCs/>
          <w:sz w:val="28"/>
        </w:rPr>
      </w:pPr>
      <w:r>
        <w:rPr>
          <w:rFonts w:eastAsia="MS Mincho"/>
          <w:b/>
          <w:bCs/>
          <w:sz w:val="28"/>
        </w:rPr>
        <w:t>- привлечение экспертов.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№9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Назовите виды преднамеренных и непрежномеренных нарушений.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Ответ: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Мошенечество — преднамеренно неправильное отражение и представление данных учета и отчетности одним или несколькими лицами из состава руководства и служащих предприятия.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Ошибка — непреднамеренное искажение финансовой информации в результате арифметических или логических погрешностей в учетных записях.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Вопрос № 10</w:t>
      </w:r>
    </w:p>
    <w:p w:rsidR="0051153B" w:rsidRDefault="0051153B">
      <w:pPr>
        <w:pStyle w:val="3"/>
        <w:rPr>
          <w:rFonts w:eastAsia="Times New Roman"/>
        </w:rPr>
      </w:pPr>
      <w:r>
        <w:rPr>
          <w:rFonts w:eastAsia="Times New Roman"/>
        </w:rPr>
        <w:t>Какие требования предъявляются к форме, структуре и содержанию аудиторского отчета?</w:t>
      </w:r>
    </w:p>
    <w:p w:rsidR="0051153B" w:rsidRDefault="0051153B">
      <w:pPr>
        <w:pStyle w:val="3"/>
      </w:pPr>
      <w:r>
        <w:t>Форма аудиторского отчета может быть произвольной, так как не зависит от результатов проверки, а также аудиторский отчет не предназначен для опубликования. Аудиторское заключение - это официальный документ, заверенный подписью и печатью аудитора (аудиторской фирмы),  который  составляется в установленном порядке по результатам проведения аудита и содержит заключение относительно достоверности отчетности,  полноты и соответствия действующему законодательству  и  установленным нормам бухгалтерского учета финансово-хозяйственной деятельности</w:t>
      </w:r>
    </w:p>
    <w:p w:rsidR="0051153B" w:rsidRDefault="0051153B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Аудиторский отчет — это мнение аудитора о достоверности бухгалтерской, финансовой отчетности проверяемого экономического субъекта. Составляется в письменной форме. Аудиторский отчет может быть условно-положительным, безусловно-положительным, отрицательным.</w:t>
      </w:r>
      <w:r>
        <w:rPr>
          <w:sz w:val="28"/>
        </w:rPr>
        <w:t xml:space="preserve"> </w:t>
      </w:r>
    </w:p>
    <w:p w:rsidR="0051153B" w:rsidRDefault="0051153B">
      <w:pPr>
        <w:pStyle w:val="a3"/>
        <w:spacing w:line="360" w:lineRule="auto"/>
      </w:pPr>
      <w:r>
        <w:t>Аудиторский отчет является заключительной частью аудиторской проверки.</w:t>
      </w:r>
    </w:p>
    <w:p w:rsidR="0051153B" w:rsidRDefault="0051153B">
      <w:pPr>
        <w:jc w:val="both"/>
        <w:rPr>
          <w:b/>
          <w:bCs/>
          <w:sz w:val="28"/>
        </w:rPr>
      </w:pPr>
    </w:p>
    <w:p w:rsidR="0051153B" w:rsidRDefault="0051153B">
      <w:pPr>
        <w:jc w:val="both"/>
        <w:rPr>
          <w:sz w:val="28"/>
        </w:rPr>
      </w:pPr>
      <w:r>
        <w:rPr>
          <w:sz w:val="28"/>
        </w:rPr>
        <w:t>Примерная форма аудиторского отчета:</w:t>
      </w:r>
    </w:p>
    <w:p w:rsidR="0051153B" w:rsidRDefault="0051153B">
      <w:pPr>
        <w:jc w:val="both"/>
        <w:rPr>
          <w:sz w:val="28"/>
        </w:rPr>
      </w:pPr>
    </w:p>
    <w:p w:rsidR="0051153B" w:rsidRDefault="0051153B">
      <w:pPr>
        <w:jc w:val="both"/>
        <w:rPr>
          <w:sz w:val="28"/>
        </w:rPr>
      </w:pPr>
      <w:r>
        <w:rPr>
          <w:sz w:val="28"/>
        </w:rPr>
        <w:t>Аудит проведен аудитором Альтовой Анной Викторовной, имеющей стаж работы аудитором 1 год и 5 месяцев.</w:t>
      </w:r>
    </w:p>
    <w:p w:rsidR="0051153B" w:rsidRDefault="0051153B">
      <w:pPr>
        <w:pStyle w:val="2"/>
        <w:spacing w:line="240" w:lineRule="auto"/>
      </w:pPr>
      <w:r>
        <w:tab/>
        <w:t>Лицензия на проведение общего аудита №15362 выдана Минфином РФ. Лицензия действительна по 1 октября 1998 года.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Регистрационное свидетельство на занятие предпринимательской деятельностью №364758.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Счет № 123456789 в Инкомбанке г. Москва.</w:t>
      </w:r>
    </w:p>
    <w:p w:rsidR="0051153B" w:rsidRDefault="0051153B">
      <w:pPr>
        <w:jc w:val="both"/>
        <w:rPr>
          <w:sz w:val="28"/>
        </w:rPr>
      </w:pPr>
    </w:p>
    <w:p w:rsidR="0051153B" w:rsidRDefault="0051153B">
      <w:pPr>
        <w:jc w:val="center"/>
        <w:rPr>
          <w:b/>
          <w:sz w:val="32"/>
        </w:rPr>
      </w:pPr>
      <w:r>
        <w:rPr>
          <w:b/>
          <w:sz w:val="32"/>
        </w:rPr>
        <w:t>Отчет аудитора</w:t>
      </w:r>
    </w:p>
    <w:p w:rsidR="0051153B" w:rsidRDefault="0051153B">
      <w:pPr>
        <w:jc w:val="center"/>
        <w:rPr>
          <w:sz w:val="32"/>
        </w:rPr>
      </w:pPr>
      <w:r>
        <w:rPr>
          <w:sz w:val="32"/>
        </w:rPr>
        <w:t xml:space="preserve">исполнительному органу </w:t>
      </w:r>
    </w:p>
    <w:p w:rsidR="0051153B" w:rsidRDefault="0051153B">
      <w:pPr>
        <w:jc w:val="center"/>
        <w:rPr>
          <w:sz w:val="32"/>
        </w:rPr>
      </w:pPr>
      <w:r>
        <w:rPr>
          <w:sz w:val="32"/>
        </w:rPr>
        <w:t>ЗАО “Красный Луч”.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1.  Мною проведен аудит оплаты труда ЗАО “Красный Луч” за 1995 год.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2. При планировании и проведении аудита оплаты труда мной рассмотрено состояние внутреннего контроля у ЗАО “Красный Луч”. Ответственность за организацию и состояние внутреннего контроля несет исполнительный орган ЗАО “Красный Луч”.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3.   Я рассмотрела состояние внутреннего контроля исключительно для того, чтобы определить объем работ, необходимых для формирования аудиторского заключения о достоверности отражения в бухгалтерской отчетности оплаты труда. Проделанная в процессе аудита работа не означает проведения полной и всеобъемлющей проверки системы внутреннего контроля ЗАО "Красный Луч" с целью выявления всех возможных недостатков.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4.  В процессе аудита мною не были обнаружены  никакие факты, из которых можно было бы сделать вывод о несоответствии системы внутреннего контроля ЗАО "Красный Луч" масштабам и характеру его деятельности.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5.  Мое мнение о достоверности отражения в бухгалтерской отчетности оплаты труда приведено в следующей части Аудиторского  заключения. Мною не были обнаружены никакие серьезные нарушения установленного порядка ведения бухгалтерского учета, которые могли бы существенно повлиять на достоверность данных по оплате труда, отраженных в бухгалтерской отчетности.</w:t>
      </w:r>
    </w:p>
    <w:p w:rsidR="0051153B" w:rsidRDefault="0051153B">
      <w:pPr>
        <w:jc w:val="both"/>
        <w:rPr>
          <w:sz w:val="28"/>
        </w:rPr>
      </w:pPr>
      <w:r>
        <w:rPr>
          <w:sz w:val="28"/>
        </w:rPr>
        <w:tab/>
        <w:t>6. При проведении аудита оплаты труда, указанной в параграфе 1 настоящей части, мною рассмотрено соблюдение в ЗАО "Красный Луч" применимого законодательства РФ при совершении финансово-хозяйственных операций. Ответственность за соблюдение применимого законодательства РФ при свершении финансово-хозяйственных операций несет исполнительный орган ЗАО "Красный Луч".</w:t>
      </w:r>
    </w:p>
    <w:p w:rsidR="0051153B" w:rsidRDefault="0051153B">
      <w:pPr>
        <w:pStyle w:val="2"/>
        <w:spacing w:line="240" w:lineRule="auto"/>
      </w:pPr>
      <w:r>
        <w:tab/>
        <w:t>7. Я проверила соответствие ряда совершенных ЗАО "Красный Луч" финансово-хозяйственных операций применимому законодательству исключительно для того, чтобы получить достаточную уверенность в том, что отраженная в бухгалтерской отчетности информация об оплате труда не содержит существенных искажений. Однако цель проведенного мной аудита оплаты труда не состояла в том, чтобы выразить мнение о полном соответствии деятельности ЗАО "Красный Луч" законодательству. Поэтому такое мнение я не высказываю.</w:t>
      </w:r>
    </w:p>
    <w:p w:rsidR="0051153B" w:rsidRDefault="0051153B">
      <w:pPr>
        <w:ind w:firstLine="357"/>
        <w:jc w:val="both"/>
        <w:rPr>
          <w:b/>
          <w:bCs/>
          <w:sz w:val="28"/>
        </w:rPr>
      </w:pPr>
      <w:r>
        <w:rPr>
          <w:sz w:val="28"/>
        </w:rPr>
        <w:tab/>
        <w:t>8. Результаты проведенной мной проверки показывают, что проведенные финансово-хозяйственные операции осуществлялись ЗАО "Красный Луч", во всех существенных отношениях, в соответствии с указанным в предыдущем параграфе настоящей части законодательством.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both"/>
        <w:rPr>
          <w:b/>
          <w:bCs/>
          <w:sz w:val="28"/>
        </w:rPr>
      </w:pPr>
    </w:p>
    <w:p w:rsidR="0051153B" w:rsidRDefault="0051153B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использованной литературы.</w:t>
      </w:r>
    </w:p>
    <w:p w:rsidR="0051153B" w:rsidRDefault="0051153B">
      <w:pPr>
        <w:spacing w:line="360" w:lineRule="auto"/>
        <w:ind w:left="360"/>
        <w:jc w:val="center"/>
        <w:rPr>
          <w:b/>
          <w:bCs/>
          <w:sz w:val="28"/>
        </w:rPr>
      </w:pPr>
    </w:p>
    <w:p w:rsidR="0051153B" w:rsidRDefault="0051153B">
      <w:pPr>
        <w:jc w:val="both"/>
        <w:rPr>
          <w:sz w:val="32"/>
        </w:rPr>
      </w:pPr>
    </w:p>
    <w:p w:rsidR="0051153B" w:rsidRDefault="005115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Барышников Н.П. “Организация и методика проведения общего аудита”, Москва, 1996 год. Информационный издательский дом “Филин”.</w:t>
      </w:r>
    </w:p>
    <w:p w:rsidR="0051153B" w:rsidRDefault="005115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Овсийчук М.Ф. “Аудит. Организация. Методика проведения”, Москва, 1996 год, ТОО “Интехтех”.</w:t>
      </w:r>
    </w:p>
    <w:p w:rsidR="0051153B" w:rsidRDefault="005115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Пизенгольц М.З., Варава А.П. “Бухгалтерский учет в сельском хозяйстве”, Москва, 1994 год, “Колос”.</w:t>
      </w:r>
    </w:p>
    <w:p w:rsidR="0051153B" w:rsidRDefault="0051153B">
      <w:pPr>
        <w:numPr>
          <w:ilvl w:val="0"/>
          <w:numId w:val="6"/>
        </w:numPr>
        <w:jc w:val="both"/>
        <w:rPr>
          <w:sz w:val="32"/>
        </w:rPr>
      </w:pPr>
      <w:r>
        <w:rPr>
          <w:sz w:val="32"/>
        </w:rPr>
        <w:t>Шеремет А.Д., Суйц В.П. “Аудит. Учебное пособие”, Москва, 1995 год, “Инфра-М”.</w:t>
      </w:r>
    </w:p>
    <w:p w:rsidR="0051153B" w:rsidRDefault="0051153B">
      <w:pPr>
        <w:jc w:val="both"/>
        <w:rPr>
          <w:sz w:val="32"/>
        </w:rPr>
      </w:pPr>
    </w:p>
    <w:p w:rsidR="0051153B" w:rsidRDefault="0051153B">
      <w:pPr>
        <w:jc w:val="both"/>
        <w:rPr>
          <w:sz w:val="28"/>
        </w:rPr>
      </w:pPr>
    </w:p>
    <w:p w:rsidR="0051153B" w:rsidRDefault="0051153B">
      <w:pPr>
        <w:spacing w:line="360" w:lineRule="auto"/>
        <w:ind w:left="360"/>
        <w:jc w:val="center"/>
      </w:pPr>
      <w:bookmarkStart w:id="0" w:name="_GoBack"/>
      <w:bookmarkEnd w:id="0"/>
    </w:p>
    <w:sectPr w:rsidR="0051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6BE"/>
    <w:multiLevelType w:val="hybridMultilevel"/>
    <w:tmpl w:val="A538C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25507"/>
    <w:multiLevelType w:val="hybridMultilevel"/>
    <w:tmpl w:val="54FCE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21E648B"/>
    <w:multiLevelType w:val="hybridMultilevel"/>
    <w:tmpl w:val="D788238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E742343"/>
    <w:multiLevelType w:val="hybridMultilevel"/>
    <w:tmpl w:val="CE926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9942B3"/>
    <w:multiLevelType w:val="hybridMultilevel"/>
    <w:tmpl w:val="2E18B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24E91"/>
    <w:multiLevelType w:val="hybridMultilevel"/>
    <w:tmpl w:val="91E8E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0F6"/>
    <w:rsid w:val="000540F6"/>
    <w:rsid w:val="000A1520"/>
    <w:rsid w:val="0051153B"/>
    <w:rsid w:val="00B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60836-3D64-4E51-B1A5-2547EBE1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left="360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b/>
      <w:bCs/>
      <w:sz w:val="28"/>
    </w:rPr>
  </w:style>
  <w:style w:type="paragraph" w:styleId="2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5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b/>
      <w:bCs/>
      <w:sz w:val="28"/>
    </w:rPr>
  </w:style>
  <w:style w:type="paragraph" w:styleId="3">
    <w:name w:val="Body Text Indent 3"/>
    <w:basedOn w:val="a"/>
    <w:semiHidden/>
    <w:pPr>
      <w:spacing w:line="360" w:lineRule="auto"/>
      <w:ind w:firstLine="360"/>
      <w:jc w:val="both"/>
    </w:pPr>
    <w:rPr>
      <w:rFonts w:eastAsia="MS Mincho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Russian Vania</dc:creator>
  <cp:keywords/>
  <cp:lastModifiedBy>Irina</cp:lastModifiedBy>
  <cp:revision>2</cp:revision>
  <cp:lastPrinted>2002-12-04T10:32:00Z</cp:lastPrinted>
  <dcterms:created xsi:type="dcterms:W3CDTF">2014-08-03T19:11:00Z</dcterms:created>
  <dcterms:modified xsi:type="dcterms:W3CDTF">2014-08-03T19:11:00Z</dcterms:modified>
</cp:coreProperties>
</file>