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32C4" w:rsidRDefault="000332C4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Переработка твердых бытовых отходов</w:t>
      </w:r>
    </w:p>
    <w:p w:rsidR="000332C4" w:rsidRDefault="000332C4">
      <w:pPr>
        <w:widowControl w:val="0"/>
        <w:spacing w:before="1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В.Д.Шантарин, Г.М.Шинкеев, П.П.Ивлев, В.В.Агеев, А.В.Иванов А.В.Двойникова, Л.В.Францева, И.Н.Манакова, Э.Н.Любас, Л.А.Клепалова.</w:t>
      </w:r>
    </w:p>
    <w:p w:rsidR="000332C4" w:rsidRDefault="000332C4">
      <w:pPr>
        <w:widowControl w:val="0"/>
        <w:spacing w:before="1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Тюменский государственный нефтегазовый университет</w:t>
      </w:r>
    </w:p>
    <w:p w:rsidR="000332C4" w:rsidRDefault="000332C4">
      <w:pPr>
        <w:widowControl w:val="0"/>
        <w:spacing w:before="1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Тюмень</w:t>
      </w:r>
    </w:p>
    <w:p w:rsidR="000332C4" w:rsidRDefault="000332C4">
      <w:pPr>
        <w:widowControl w:val="0"/>
        <w:spacing w:before="1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Россия</w:t>
      </w:r>
    </w:p>
    <w:p w:rsidR="000332C4" w:rsidRDefault="000332C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Удаление и обезвреживание твердых бытовых отходов (ТБО) - наиболее значимый для города неблагоприятный экологический фактор, важнейший показатель санитарного благополучия населения, общественной гигиены.</w:t>
      </w:r>
    </w:p>
    <w:p w:rsidR="000332C4" w:rsidRDefault="000332C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Среди методов ликвидации отходов в настоящее время первое место принадлежит полигонам твердых бытовых отходов, на которые вывозят порядка 90-95% отходов (сжигание составляет не выше 10%). При этом сложилось устойчивое мнение: будь-то бы, если ТБО складируются, то тем самым они обезвреживаются. Это далеко от истины. Полигоны – мины замедленного действия, которые будут действовать десятки лет, нанося огромный экологический и социальный ущерб природной среде и, тем самым, населению. </w:t>
      </w:r>
    </w:p>
    <w:p w:rsidR="000332C4" w:rsidRDefault="000332C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 результатам работ различных авторов, исследовавших все аспекты размещения ТБО на полигонах, отмечается не только сильное поверхностное загрязнение почв на больших территориях, но и подземных вод и грунтов до глубин более 20 м. При этом установлено, что воды фильтратов являются также источником загрязнения поверхностных вод по: Fe, Ba, Cr, P, Ti, Ni, нитратам, аммонию, Cl от 2 до 100 ПДК. Кроме того, в состав загрязняющих компонентов при многократном превышении ПДК входят: Co, W, Mo, V, Zr, Pb, Bi, Zn, Li, Sr и т. д. Воды эти токсичны для живых организмов.</w:t>
      </w:r>
    </w:p>
    <w:p w:rsidR="000332C4" w:rsidRDefault="000332C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Вблизи полигона ТБО располагаются и эксплуатируются артезианские водонапорные скважины из горизонтов, испытывающих постоянное загрязнение фильтратами полигона. </w:t>
      </w:r>
    </w:p>
    <w:p w:rsidR="000332C4" w:rsidRDefault="000332C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Помимо этого на природную среду оказывает влияние выделение биогаза – метана, кислорода, углекислого газа, содержание которых может составлять десятки процентов. Эти величины превышают санитарные нормы и могут вызвать удушье человека. Биохимическое разложение и химическое окисление материала свалки может сопровождаться образованием очагов выделения тепла с повышением температур до 75°С, т. е. возможно самовозгорание отходов. Гниение материала ТБО сопровождается распространением запаха на расстояние более 1 км.</w:t>
      </w:r>
    </w:p>
    <w:p w:rsidR="000332C4" w:rsidRDefault="000332C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Вторым направлением утилизации ТБО является переработка в органическое удобрение (компост). Из известных методов переработки (с продувкой воздуха в штабелях, в сетчатых камерах, на жалюзийных полках, в вертикальных башнях) наиболее эффективным и гигиеничным на сегодняшний день является метод биопереработки во вращающихся цилиндрических барабанах (диаметром до 4 метров и длиной до 30-60 метров). Процесс происходит в полной изоляции от человека.</w:t>
      </w:r>
    </w:p>
    <w:p w:rsidR="000332C4" w:rsidRDefault="000332C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Трудность осуществления данного метода состоит в необходимости сложной сортировки и предварительной переработки ТБО, т. к. в России отсутствует система целевого сбора отсортированного и незагрязненного вторичного сырья у населения, что влечет за собой необходимость строительства дополнительного завода по сортировке мусора для разделения и сбора вторичного сырья: пленка, бумага, черные и цветные металлы, стекло.</w:t>
      </w:r>
    </w:p>
    <w:p w:rsidR="000332C4" w:rsidRDefault="000332C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 сожалению, из-за низкой экологической культуры населения в бытовые отходы попадают краски, батарейки, люминисцентные лампы и многое другое, что может привести к перенасыщению компоста тяжелыми металлами и вредными компонентами.</w:t>
      </w:r>
    </w:p>
    <w:p w:rsidR="000332C4" w:rsidRDefault="000332C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этим в работе предлагается метод безотходной утилизации ТБО. Суть предлагаемого решения сводится к проведению ряда технологических стадий переработки органических отходов в зависимости от агрегатного состояния. Твердые органические отходы в смеси с окисью кальция переводятся в карбид кальция. Жидкие и газообразные отходы превращаются в синтетические нефтепродукты путем пропускания их через карбид кальция в сверхкритических для ацетилена условиях T&gt;=500°C и P&gt;=0,2МПа и последующей конденсацией и сепарацией полученных продуктов.</w:t>
      </w:r>
    </w:p>
    <w:p w:rsidR="000332C4" w:rsidRDefault="000332C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Новизна этого решения состоит в осуществлении последовательных вышеназванных химико-технологических стадий превращения отходов в ценное энергетическое сырье (сначала в карбид кальция, затем в углеводороды нефтяного ряда) При этом глубина утилизации достигает 90% и более.</w:t>
      </w:r>
    </w:p>
    <w:p w:rsidR="000332C4" w:rsidRDefault="000332C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Ожидаемые научные результаты сводятся к существенной корректировке наших знаний о гидролизе ионных карбидов. Принято считать, что при взаимодействии карбида кальция с водой образуется ацетилен. Ацетилен является неустойчивым газом, так нагретый до 500°C ацетилен взрывается (без кислорода или другого окислителя) при P&lt;0,2МПа. Следовательно,если проводить взаимодействие CaC</w:t>
      </w:r>
      <w:r>
        <w:rPr>
          <w:color w:val="000000"/>
          <w:sz w:val="24"/>
          <w:szCs w:val="24"/>
          <w:vertAlign w:val="subscript"/>
        </w:rPr>
        <w:t>2</w:t>
      </w:r>
      <w:r>
        <w:rPr>
          <w:color w:val="000000"/>
          <w:sz w:val="24"/>
          <w:szCs w:val="24"/>
        </w:rPr>
        <w:t xml:space="preserve"> с H</w:t>
      </w:r>
      <w:r>
        <w:rPr>
          <w:color w:val="000000"/>
          <w:sz w:val="24"/>
          <w:szCs w:val="24"/>
          <w:vertAlign w:val="subscript"/>
        </w:rPr>
        <w:t>2</w:t>
      </w:r>
      <w:r>
        <w:rPr>
          <w:color w:val="000000"/>
          <w:sz w:val="24"/>
          <w:szCs w:val="24"/>
        </w:rPr>
        <w:t>O при Т&gt;=500°C и P&gt;=0,2 МПа, то в этих условиях ацетилен существовать, а следовательно, образовываться не может.</w:t>
      </w:r>
    </w:p>
    <w:p w:rsidR="000332C4" w:rsidRDefault="000332C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Но и карбид кальция в присутствии воды существовать не может. Условий выше критического для ацетилена бесконечно много. Схематично этот процесс можно записать в следующем виде:</w:t>
      </w:r>
    </w:p>
    <w:p w:rsidR="000332C4" w:rsidRDefault="000332C4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CaC</w:t>
      </w:r>
      <w:r>
        <w:rPr>
          <w:color w:val="000000"/>
          <w:sz w:val="24"/>
          <w:szCs w:val="24"/>
          <w:vertAlign w:val="subscript"/>
          <w:lang w:val="en-US"/>
        </w:rPr>
        <w:t>2</w:t>
      </w:r>
      <w:r>
        <w:rPr>
          <w:color w:val="000000"/>
          <w:sz w:val="24"/>
          <w:szCs w:val="24"/>
          <w:lang w:val="en-US"/>
        </w:rPr>
        <w:t>+H</w:t>
      </w:r>
      <w:r>
        <w:rPr>
          <w:color w:val="000000"/>
          <w:sz w:val="24"/>
          <w:szCs w:val="24"/>
          <w:vertAlign w:val="subscript"/>
          <w:lang w:val="en-US"/>
        </w:rPr>
        <w:t>2</w:t>
      </w:r>
      <w:r>
        <w:rPr>
          <w:color w:val="000000"/>
          <w:sz w:val="24"/>
          <w:szCs w:val="24"/>
          <w:lang w:val="en-US"/>
        </w:rPr>
        <w:t>OCaO+CH</w:t>
      </w:r>
      <w:r>
        <w:rPr>
          <w:color w:val="000000"/>
          <w:sz w:val="24"/>
          <w:szCs w:val="24"/>
          <w:vertAlign w:val="subscript"/>
          <w:lang w:val="en-US"/>
        </w:rPr>
        <w:t>4</w:t>
      </w:r>
      <w:r>
        <w:rPr>
          <w:color w:val="000000"/>
          <w:sz w:val="24"/>
          <w:szCs w:val="24"/>
          <w:lang w:val="en-US"/>
        </w:rPr>
        <w:t>(</w:t>
      </w:r>
      <w:r>
        <w:rPr>
          <w:color w:val="000000"/>
          <w:sz w:val="24"/>
          <w:szCs w:val="24"/>
        </w:rPr>
        <w:t>газ</w:t>
      </w:r>
      <w:r>
        <w:rPr>
          <w:color w:val="000000"/>
          <w:sz w:val="24"/>
          <w:szCs w:val="24"/>
          <w:lang w:val="en-US"/>
        </w:rPr>
        <w:t>)</w:t>
      </w:r>
    </w:p>
    <w:p w:rsidR="000332C4" w:rsidRDefault="000332C4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CaC</w:t>
      </w:r>
      <w:r>
        <w:rPr>
          <w:color w:val="000000"/>
          <w:sz w:val="24"/>
          <w:szCs w:val="24"/>
          <w:vertAlign w:val="subscript"/>
          <w:lang w:val="en-US"/>
        </w:rPr>
        <w:t>2</w:t>
      </w:r>
      <w:r>
        <w:rPr>
          <w:color w:val="000000"/>
          <w:sz w:val="24"/>
          <w:szCs w:val="24"/>
          <w:lang w:val="en-US"/>
        </w:rPr>
        <w:t>+H</w:t>
      </w:r>
      <w:r>
        <w:rPr>
          <w:color w:val="000000"/>
          <w:sz w:val="24"/>
          <w:szCs w:val="24"/>
          <w:vertAlign w:val="subscript"/>
          <w:lang w:val="en-US"/>
        </w:rPr>
        <w:t>2</w:t>
      </w:r>
      <w:r>
        <w:rPr>
          <w:color w:val="000000"/>
          <w:sz w:val="24"/>
          <w:szCs w:val="24"/>
          <w:lang w:val="en-US"/>
        </w:rPr>
        <w:t>OCaO+CH</w:t>
      </w:r>
      <w:r>
        <w:rPr>
          <w:color w:val="000000"/>
          <w:sz w:val="24"/>
          <w:szCs w:val="24"/>
          <w:vertAlign w:val="subscript"/>
          <w:lang w:val="en-US"/>
        </w:rPr>
        <w:t>3</w:t>
      </w:r>
      <w:r>
        <w:rPr>
          <w:color w:val="000000"/>
          <w:sz w:val="24"/>
          <w:szCs w:val="24"/>
          <w:lang w:val="en-US"/>
        </w:rPr>
        <w:t>(</w:t>
      </w:r>
      <w:r>
        <w:rPr>
          <w:color w:val="000000"/>
          <w:sz w:val="24"/>
          <w:szCs w:val="24"/>
        </w:rPr>
        <w:t>газоконденсат</w:t>
      </w:r>
      <w:r>
        <w:rPr>
          <w:color w:val="000000"/>
          <w:sz w:val="24"/>
          <w:szCs w:val="24"/>
          <w:lang w:val="en-US"/>
        </w:rPr>
        <w:t>)</w:t>
      </w:r>
    </w:p>
    <w:p w:rsidR="000332C4" w:rsidRDefault="000332C4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CaC</w:t>
      </w:r>
      <w:r>
        <w:rPr>
          <w:color w:val="000000"/>
          <w:sz w:val="24"/>
          <w:szCs w:val="24"/>
          <w:vertAlign w:val="subscript"/>
          <w:lang w:val="en-US"/>
        </w:rPr>
        <w:t>2</w:t>
      </w:r>
      <w:r>
        <w:rPr>
          <w:color w:val="000000"/>
          <w:sz w:val="24"/>
          <w:szCs w:val="24"/>
          <w:lang w:val="en-US"/>
        </w:rPr>
        <w:t>+H</w:t>
      </w:r>
      <w:r>
        <w:rPr>
          <w:color w:val="000000"/>
          <w:sz w:val="24"/>
          <w:szCs w:val="24"/>
          <w:vertAlign w:val="subscript"/>
          <w:lang w:val="en-US"/>
        </w:rPr>
        <w:t>2</w:t>
      </w:r>
      <w:r>
        <w:rPr>
          <w:color w:val="000000"/>
          <w:sz w:val="24"/>
          <w:szCs w:val="24"/>
          <w:lang w:val="en-US"/>
        </w:rPr>
        <w:t>OCaO+CH</w:t>
      </w:r>
      <w:r>
        <w:rPr>
          <w:color w:val="000000"/>
          <w:sz w:val="24"/>
          <w:szCs w:val="24"/>
          <w:vertAlign w:val="subscript"/>
          <w:lang w:val="en-US"/>
        </w:rPr>
        <w:t>2</w:t>
      </w:r>
      <w:r>
        <w:rPr>
          <w:color w:val="000000"/>
          <w:sz w:val="24"/>
          <w:szCs w:val="24"/>
          <w:lang w:val="en-US"/>
        </w:rPr>
        <w:t>(</w:t>
      </w:r>
      <w:r>
        <w:rPr>
          <w:color w:val="000000"/>
          <w:sz w:val="24"/>
          <w:szCs w:val="24"/>
        </w:rPr>
        <w:t>нефть</w:t>
      </w:r>
      <w:r>
        <w:rPr>
          <w:color w:val="000000"/>
          <w:sz w:val="24"/>
          <w:szCs w:val="24"/>
          <w:lang w:val="en-US"/>
        </w:rPr>
        <w:t>)</w:t>
      </w:r>
    </w:p>
    <w:p w:rsidR="000332C4" w:rsidRDefault="000332C4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CaC</w:t>
      </w:r>
      <w:r>
        <w:rPr>
          <w:color w:val="000000"/>
          <w:sz w:val="24"/>
          <w:szCs w:val="24"/>
          <w:vertAlign w:val="subscript"/>
          <w:lang w:val="en-US"/>
        </w:rPr>
        <w:t>2</w:t>
      </w:r>
      <w:r>
        <w:rPr>
          <w:color w:val="000000"/>
          <w:sz w:val="24"/>
          <w:szCs w:val="24"/>
          <w:lang w:val="en-US"/>
        </w:rPr>
        <w:t>+H</w:t>
      </w:r>
      <w:r>
        <w:rPr>
          <w:color w:val="000000"/>
          <w:sz w:val="24"/>
          <w:szCs w:val="24"/>
          <w:vertAlign w:val="subscript"/>
          <w:lang w:val="en-US"/>
        </w:rPr>
        <w:t>2</w:t>
      </w:r>
      <w:r>
        <w:rPr>
          <w:color w:val="000000"/>
          <w:sz w:val="24"/>
          <w:szCs w:val="24"/>
          <w:lang w:val="en-US"/>
        </w:rPr>
        <w:t>O CaO+CH(</w:t>
      </w:r>
      <w:r>
        <w:rPr>
          <w:color w:val="000000"/>
          <w:sz w:val="24"/>
          <w:szCs w:val="24"/>
        </w:rPr>
        <w:t>графит</w:t>
      </w:r>
      <w:r>
        <w:rPr>
          <w:color w:val="000000"/>
          <w:sz w:val="24"/>
          <w:szCs w:val="24"/>
          <w:lang w:val="en-US"/>
        </w:rPr>
        <w:t>)</w:t>
      </w:r>
    </w:p>
    <w:p w:rsidR="000332C4" w:rsidRDefault="000332C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Таким образом, опытным путем доказано, что воду можно перевести в любой из вышеупомянутых продуктов. Все дело в экономической целесообразности.</w:t>
      </w:r>
    </w:p>
    <w:p w:rsidR="000332C4" w:rsidRDefault="000332C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Кроме того, это решение может найти практическое применение в областях и районах экологического бедствия, поскольку предлагается ликвидация любых органических сбросов путем перевода их в углеводороды нефтяного ряда.</w:t>
      </w:r>
    </w:p>
    <w:p w:rsidR="000332C4" w:rsidRDefault="000332C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Схема переработки: твердые органические отходы, отсортированные от металла и минеральных веществ, переводятся в карбид кальция, который в дальнейшем используется для утилизации ядовитых газообразных и жидких сбросов.</w:t>
      </w:r>
    </w:p>
    <w:p w:rsidR="000332C4" w:rsidRDefault="000332C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Положительный баланс в энергозатратах осуществляется в основном за счет:</w:t>
      </w:r>
    </w:p>
    <w:p w:rsidR="000332C4" w:rsidRDefault="000332C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замены кокса или антрацита бросовым углеродом (мусором); </w:t>
      </w:r>
    </w:p>
    <w:p w:rsidR="000332C4" w:rsidRDefault="000332C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использования для гидролиза CaC</w:t>
      </w:r>
      <w:r>
        <w:rPr>
          <w:color w:val="000000"/>
          <w:sz w:val="24"/>
          <w:szCs w:val="24"/>
          <w:vertAlign w:val="subscript"/>
        </w:rPr>
        <w:t>2</w:t>
      </w:r>
      <w:r>
        <w:rPr>
          <w:color w:val="000000"/>
          <w:sz w:val="24"/>
          <w:szCs w:val="24"/>
        </w:rPr>
        <w:t xml:space="preserve"> ядовитых отходов (сбросов), богатых органическими веществами, что снижает расход CaC</w:t>
      </w:r>
      <w:r>
        <w:rPr>
          <w:color w:val="000000"/>
          <w:sz w:val="24"/>
          <w:szCs w:val="24"/>
          <w:vertAlign w:val="subscript"/>
        </w:rPr>
        <w:t>2</w:t>
      </w:r>
      <w:r>
        <w:rPr>
          <w:color w:val="000000"/>
          <w:sz w:val="24"/>
          <w:szCs w:val="24"/>
        </w:rPr>
        <w:t xml:space="preserve"> на единицу продукции; </w:t>
      </w:r>
    </w:p>
    <w:p w:rsidR="000332C4" w:rsidRDefault="000332C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исключения футеровки стенок установки огнеупорными графитовыми блоками. </w:t>
      </w:r>
    </w:p>
    <w:p w:rsidR="000332C4" w:rsidRDefault="000332C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Использование предлагаемого способа переработки мусора позволяет не только утилизовывать бытовые отходы, но и получать ценные углеводороды нефтяного ряда, вследствие чего значительно сократятся расходы на переработку мусора и, в конечном счете, приведет к экономии энергетических ресурсов.</w:t>
      </w:r>
    </w:p>
    <w:p w:rsidR="000332C4" w:rsidRDefault="000332C4">
      <w:bookmarkStart w:id="0" w:name="_GoBack"/>
      <w:bookmarkEnd w:id="0"/>
    </w:p>
    <w:sectPr w:rsidR="000332C4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4FD8"/>
    <w:rsid w:val="000332C4"/>
    <w:rsid w:val="00154FD8"/>
    <w:rsid w:val="006C3DEB"/>
    <w:rsid w:val="0077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B32E520F-28BA-4A71-AE81-A41A49671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3856</Words>
  <Characters>2198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Переработка твердых бытовых отходов</vt:lpstr>
    </vt:vector>
  </TitlesOfParts>
  <Company>PERSONAL COMPUTERS</Company>
  <LinksUpToDate>false</LinksUpToDate>
  <CharactersWithSpaces>6042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Переработка твердых бытовых отходов</dc:title>
  <dc:subject/>
  <dc:creator>USER</dc:creator>
  <cp:keywords/>
  <dc:description/>
  <cp:lastModifiedBy>admin</cp:lastModifiedBy>
  <cp:revision>2</cp:revision>
  <dcterms:created xsi:type="dcterms:W3CDTF">2014-01-26T10:47:00Z</dcterms:created>
  <dcterms:modified xsi:type="dcterms:W3CDTF">2014-01-26T10:47:00Z</dcterms:modified>
</cp:coreProperties>
</file>