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bCs/>
          <w:caps/>
          <w:kern w:val="28"/>
          <w:sz w:val="28"/>
          <w:szCs w:val="22"/>
        </w:rPr>
      </w:pPr>
      <w:r w:rsidRPr="00F25510">
        <w:rPr>
          <w:b/>
          <w:bCs/>
          <w:caps/>
          <w:kern w:val="28"/>
          <w:sz w:val="28"/>
          <w:szCs w:val="22"/>
        </w:rPr>
        <w:t>Сколько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таможенных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пошлин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и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налогов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«требует»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каждый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таможенный</w:t>
      </w:r>
      <w:r w:rsidR="00F25510">
        <w:rPr>
          <w:b/>
          <w:bCs/>
          <w:caps/>
          <w:kern w:val="28"/>
          <w:sz w:val="28"/>
          <w:szCs w:val="22"/>
        </w:rPr>
        <w:t xml:space="preserve"> </w:t>
      </w:r>
      <w:r w:rsidRPr="00F25510">
        <w:rPr>
          <w:b/>
          <w:bCs/>
          <w:caps/>
          <w:kern w:val="28"/>
          <w:sz w:val="28"/>
          <w:szCs w:val="22"/>
        </w:rPr>
        <w:t>режим?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Необходимость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«растаможке»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определяются,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кроме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прочего,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режимом,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заявляется.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условием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установления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двух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является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акцизов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добавленную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(далее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НДС).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требуют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исключением,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может,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когда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нарушаются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условия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использования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(например,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склада,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утрачен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т.п.).</w:t>
      </w:r>
    </w:p>
    <w:p w:rsidR="00F25510" w:rsidRDefault="00F25510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aps/>
          <w:kern w:val="28"/>
          <w:sz w:val="28"/>
          <w:szCs w:val="18"/>
        </w:rPr>
      </w:pP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b/>
          <w:bCs/>
          <w:caps/>
          <w:kern w:val="28"/>
          <w:sz w:val="28"/>
          <w:szCs w:val="18"/>
        </w:rPr>
      </w:pPr>
      <w:r w:rsidRPr="00F25510">
        <w:rPr>
          <w:rFonts w:cs="Arial"/>
          <w:b/>
          <w:bCs/>
          <w:caps/>
          <w:kern w:val="28"/>
          <w:sz w:val="28"/>
          <w:szCs w:val="18"/>
        </w:rPr>
        <w:t>Режим</w:t>
      </w:r>
      <w:r w:rsidR="00F25510">
        <w:rPr>
          <w:rFonts w:cs="Arial"/>
          <w:b/>
          <w:bCs/>
          <w:caps/>
          <w:kern w:val="28"/>
          <w:sz w:val="28"/>
          <w:szCs w:val="18"/>
        </w:rPr>
        <w:t xml:space="preserve"> </w:t>
      </w:r>
      <w:r w:rsidRPr="00F25510">
        <w:rPr>
          <w:rFonts w:cs="Arial"/>
          <w:b/>
          <w:bCs/>
          <w:caps/>
          <w:kern w:val="28"/>
          <w:sz w:val="28"/>
          <w:szCs w:val="18"/>
        </w:rPr>
        <w:t>свободного</w:t>
      </w:r>
      <w:r w:rsidR="00F25510">
        <w:rPr>
          <w:rFonts w:cs="Arial"/>
          <w:b/>
          <w:bCs/>
          <w:caps/>
          <w:kern w:val="28"/>
          <w:sz w:val="28"/>
          <w:szCs w:val="18"/>
        </w:rPr>
        <w:t xml:space="preserve"> </w:t>
      </w:r>
      <w:r w:rsidRPr="00F25510">
        <w:rPr>
          <w:rFonts w:cs="Arial"/>
          <w:b/>
          <w:bCs/>
          <w:caps/>
          <w:kern w:val="28"/>
          <w:sz w:val="28"/>
          <w:szCs w:val="18"/>
        </w:rPr>
        <w:t>обращения</w:t>
      </w:r>
    </w:p>
    <w:p w:rsidR="00F25510" w:rsidRDefault="00F25510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Начнем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таможенного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режима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свободного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обращения</w:t>
      </w:r>
      <w:r w:rsidRPr="00F25510">
        <w:rPr>
          <w:rFonts w:cs="Tahoma"/>
          <w:kern w:val="28"/>
          <w:sz w:val="28"/>
          <w:szCs w:val="18"/>
        </w:rPr>
        <w:t>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заявляется,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например,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из-за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границы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либо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ранее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хранящихся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складе.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таможня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выдаст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свидетельство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сборы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оформление,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акцизы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являются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подакцизными)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Указанные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исчисляются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установленным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ставкам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уплачиваются,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правило,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суммы.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Поскольку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именно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предполагает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максимально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возможной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полнота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особенно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важна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Напомним,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чего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зависит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правильность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Arial"/>
          <w:bCs/>
          <w:iCs/>
          <w:kern w:val="28"/>
          <w:sz w:val="28"/>
          <w:szCs w:val="18"/>
        </w:rPr>
        <w:t>Первое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полноты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достоверности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сведений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характеристиках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декларируемого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товара.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Описание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характеристик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числе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торговой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марки,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модели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т.п.)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должны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достаточными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однозначной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точной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классификации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соответствии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номенклатурой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внешнеэкономической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деятельности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Беларусь.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большинстве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зависит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веса,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объема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характеристик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натуральном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выражении.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Arial"/>
          <w:bCs/>
          <w:iCs/>
          <w:kern w:val="28"/>
          <w:sz w:val="28"/>
          <w:szCs w:val="18"/>
        </w:rPr>
        <w:t>Второе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контроля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правило,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соответствующие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(декларация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стоимости;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иногда,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форма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корректировки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платежей)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обосновывающие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структуру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избранный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метод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определения.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Готовясь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заявлению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знать,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ряде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некоторых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либо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производится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меньшем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размере.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чтобы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воспользоваться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льготой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помимо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заполненной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декларации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представить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таможню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подтверждающие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освобождение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либо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меньшем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размере.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дальнейшее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использование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«льготированных»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должно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осуществляться,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правило,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строго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установленных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целях.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Таким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образом,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вопросе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выбора: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государству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объеме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либо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воспользоваться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рамках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законодательства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льготой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принятие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решения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остается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заинтересованным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лицом.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Продолжим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рассмотрение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«платежных»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вопросов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рамках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заявляемого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полученных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результате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осуществления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ранее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Имеется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ввиду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следующая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ситуация: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сначала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некие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вывозятся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границу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(они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помещались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территории),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затем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произведенные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готовые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ввозятся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несколько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более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сложный,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обычно.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Общий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принцип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должны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взиматься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исходя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операций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F25510">
        <w:rPr>
          <w:rFonts w:cs="Courier New"/>
          <w:kern w:val="28"/>
          <w:sz w:val="28"/>
          <w:szCs w:val="22"/>
        </w:rPr>
        <w:t>Пример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границу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ранее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было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отправлено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неисправное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оборудование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стоимостью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которое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установлена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ставка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ввозной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5%,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ремонта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составила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эквиваленте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450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подлежащая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будет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равна: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ТП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450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0,05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372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привести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другой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пример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когда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необходимая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отсутствует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коммерческих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документах.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F25510">
        <w:rPr>
          <w:rFonts w:cs="Courier New"/>
          <w:kern w:val="28"/>
          <w:sz w:val="28"/>
          <w:szCs w:val="22"/>
        </w:rPr>
        <w:t>Пример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для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рубеж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вывезена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ткань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неотбеленная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(таможенная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красители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(таможенная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рублей).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После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совершения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операций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Беларусь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ввезена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окрашенная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ткань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стоимостью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23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(ставка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ввозной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15%).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невозможности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определить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операций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переработке,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сумма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составит: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ТП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[23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+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000)]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855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всегда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облагаются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«процентными»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пошлины.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известно,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существуют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еще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установленные,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числе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евро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определенную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количественную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единицу,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охарактеризован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лучше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продемонстрирует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следующий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пример.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F25510">
        <w:rPr>
          <w:rFonts w:cs="Courier New"/>
          <w:kern w:val="28"/>
          <w:sz w:val="28"/>
          <w:szCs w:val="22"/>
        </w:rPr>
        <w:t>Пример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результате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упомянутой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выше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неотбеленной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ткани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(ставка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15%)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красителей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(ставка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5%)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получены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ввозимые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Беларусь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занавеси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(ставка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20%,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менее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0,7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евро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кг)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общим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весом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5120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кг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стоимостью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применением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курса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евро,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равного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3398,78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пошлина,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исчисленная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отношении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товаров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для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составит: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ТПтоваров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для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+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0,05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365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Исчисленная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общим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правилам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сумма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отношении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продуктов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(занавесей)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должна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соответствовать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наибольшему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из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следующих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значений: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(41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0,2)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181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(5120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0,7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3398,78).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ТПпрод.перер.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составит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181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При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помещении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рассматриваемых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занавесей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под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режим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свободного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обращения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нужно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будет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уплатить: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ТП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ТПпрод.перер.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ТПтоваров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для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181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365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9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816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Также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немного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«попотеть»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придется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помещаемых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пошлиной,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определяется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произведение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базы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ставки.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базу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вместо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включается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операций,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совершены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изготовлении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готового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продукта.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такая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неизвестна,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действовать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следующим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образом: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Arial"/>
          <w:bCs/>
          <w:kern w:val="28"/>
          <w:sz w:val="28"/>
          <w:szCs w:val="18"/>
        </w:rPr>
        <w:t>1.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Суммируем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границу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взять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сведений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ранее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выданных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свидетельств.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целей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производства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вывезен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суммировать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придется.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Arial"/>
          <w:bCs/>
          <w:kern w:val="28"/>
          <w:sz w:val="28"/>
          <w:szCs w:val="18"/>
        </w:rPr>
        <w:t>2.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Определяем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продуктов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Arial"/>
          <w:bCs/>
          <w:kern w:val="28"/>
          <w:sz w:val="28"/>
          <w:szCs w:val="18"/>
        </w:rPr>
        <w:t>3.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Разница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между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величинами,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полученными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согласно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пункту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2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1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даст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величину,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использовать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вместо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ремонта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других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операций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качестве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основы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описанные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«манипуляции»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стоимостями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производить,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представленных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документов,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например,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счет-проформы,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выставил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заграничный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переработчик,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внешнеторгового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договора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взять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самую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стоимость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операций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формула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расчета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акцизов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сравнению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общеустановленной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изменится.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Акциз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просто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куплен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ввозился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территорию.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F25510">
        <w:rPr>
          <w:rFonts w:cs="Courier New"/>
          <w:kern w:val="28"/>
          <w:sz w:val="28"/>
          <w:szCs w:val="22"/>
        </w:rPr>
        <w:t>Пример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Для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осуществления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возмездного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ремонта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режиме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переработки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вне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территории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вывезен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грузовой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микроавтобус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Fiat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Ducato: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год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выпуска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01.07.2003;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двигатель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мощностью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л.с.;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таможенная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После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осуществления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ремонта,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которого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документально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подтверждена,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этот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микроавтобус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ввезен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обратно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Беларусь.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заявлении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режима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свободного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обращения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стоимость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отремонтированного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микроавтобуса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определена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размере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применением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расчете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курса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евро,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равного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3398,78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ставок: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таможенных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сборов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евро,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10%,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акцизов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л.с.,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НДС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18%,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будут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подлежать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следующие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таможенные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платежи: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1.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Сбор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таможенное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оформление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50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евро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3398,78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169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939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2.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Таможенная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(42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730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3.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Акцизы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161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280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4.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НДС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(42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–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35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460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+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730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000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+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161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280)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0,18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=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474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430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рублей.</w:t>
      </w:r>
    </w:p>
    <w:p w:rsidR="00F25510" w:rsidRDefault="00F25510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Arial"/>
          <w:bCs/>
          <w:caps/>
          <w:kern w:val="28"/>
          <w:sz w:val="28"/>
          <w:szCs w:val="18"/>
        </w:rPr>
      </w:pP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cs="Arial"/>
          <w:b/>
          <w:bCs/>
          <w:caps/>
          <w:kern w:val="28"/>
          <w:sz w:val="28"/>
          <w:szCs w:val="18"/>
        </w:rPr>
      </w:pPr>
      <w:r w:rsidRPr="00F25510">
        <w:rPr>
          <w:rFonts w:cs="Arial"/>
          <w:b/>
          <w:bCs/>
          <w:caps/>
          <w:kern w:val="28"/>
          <w:sz w:val="28"/>
          <w:szCs w:val="18"/>
        </w:rPr>
        <w:t>Режим</w:t>
      </w:r>
      <w:r w:rsidR="00F25510" w:rsidRPr="00F25510">
        <w:rPr>
          <w:rFonts w:cs="Arial"/>
          <w:b/>
          <w:bCs/>
          <w:caps/>
          <w:kern w:val="28"/>
          <w:sz w:val="28"/>
          <w:szCs w:val="18"/>
        </w:rPr>
        <w:t xml:space="preserve"> </w:t>
      </w:r>
      <w:r w:rsidRPr="00F25510">
        <w:rPr>
          <w:rFonts w:cs="Arial"/>
          <w:b/>
          <w:bCs/>
          <w:caps/>
          <w:kern w:val="28"/>
          <w:sz w:val="28"/>
          <w:szCs w:val="18"/>
        </w:rPr>
        <w:t>временного</w:t>
      </w:r>
      <w:r w:rsidR="00F25510" w:rsidRPr="00F25510">
        <w:rPr>
          <w:rFonts w:cs="Arial"/>
          <w:b/>
          <w:bCs/>
          <w:caps/>
          <w:kern w:val="28"/>
          <w:sz w:val="28"/>
          <w:szCs w:val="18"/>
        </w:rPr>
        <w:t xml:space="preserve"> </w:t>
      </w:r>
      <w:r w:rsidRPr="00F25510">
        <w:rPr>
          <w:rFonts w:cs="Arial"/>
          <w:b/>
          <w:bCs/>
          <w:caps/>
          <w:kern w:val="28"/>
          <w:sz w:val="28"/>
          <w:szCs w:val="18"/>
        </w:rPr>
        <w:t>ввоза</w:t>
      </w:r>
    </w:p>
    <w:p w:rsidR="00F25510" w:rsidRDefault="00F25510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Наряду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исчисляются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ставкам,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сроки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будут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иными.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единовременной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завершения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«растаможки»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Здесь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напрямую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зависит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сколько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месяцев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пользовались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республике.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каждый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месяц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3%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Рассчитывается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формуле: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iCs/>
          <w:kern w:val="28"/>
          <w:sz w:val="28"/>
          <w:szCs w:val="18"/>
        </w:rPr>
      </w:pPr>
      <w:r w:rsidRPr="00F25510">
        <w:rPr>
          <w:rFonts w:cs="Courier New"/>
          <w:iCs/>
          <w:kern w:val="28"/>
          <w:sz w:val="28"/>
          <w:szCs w:val="18"/>
        </w:rPr>
        <w:t>ТП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вр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=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ТП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х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0,03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х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n,</w:t>
      </w:r>
      <w:r w:rsidR="00F25510">
        <w:rPr>
          <w:rFonts w:cs="Courier New"/>
          <w:iCs/>
          <w:kern w:val="28"/>
          <w:sz w:val="28"/>
          <w:szCs w:val="18"/>
        </w:rPr>
        <w:t xml:space="preserve"> </w:t>
      </w:r>
      <w:r w:rsidRPr="00F25510">
        <w:rPr>
          <w:rFonts w:cs="Courier New"/>
          <w:iCs/>
          <w:kern w:val="28"/>
          <w:sz w:val="28"/>
          <w:szCs w:val="18"/>
        </w:rPr>
        <w:t>где: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ТП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конкретного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вида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акцизов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НДС),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исчисляемая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ТП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исчисленная,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помещались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n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количество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неполных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календарных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(апрель,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май,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июнь,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…)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="00661F64" w:rsidRPr="00F25510">
        <w:rPr>
          <w:rFonts w:cs="Tahoma"/>
          <w:kern w:val="28"/>
          <w:sz w:val="28"/>
          <w:szCs w:val="18"/>
        </w:rPr>
        <w:t>месяцев,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течение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будут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использованы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Courier New"/>
          <w:kern w:val="28"/>
          <w:sz w:val="28"/>
          <w:szCs w:val="22"/>
        </w:rPr>
      </w:pPr>
      <w:r w:rsidRPr="00F25510">
        <w:rPr>
          <w:rFonts w:cs="Courier New"/>
          <w:kern w:val="28"/>
          <w:sz w:val="28"/>
          <w:szCs w:val="22"/>
        </w:rPr>
        <w:t>Пример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Verdana"/>
          <w:iCs/>
          <w:kern w:val="28"/>
          <w:sz w:val="28"/>
          <w:szCs w:val="18"/>
        </w:rPr>
      </w:pPr>
      <w:r w:rsidRPr="00F25510">
        <w:rPr>
          <w:rFonts w:cs="Verdana"/>
          <w:iCs/>
          <w:kern w:val="28"/>
          <w:sz w:val="28"/>
          <w:szCs w:val="18"/>
        </w:rPr>
        <w:t>Таможенный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режим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временного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ввоза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заявляется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период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июня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15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сентября,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пошлины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налоги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надо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уплатить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трехпроцентном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размере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за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следующие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календарные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месяцы: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неполный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июнь,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полный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июль,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полный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август,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неполный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сентябрь.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Итого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уплате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будет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подлежать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12%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от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таможенных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платежей,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которые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уплачивались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бы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в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случае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«полной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растаможки»</w:t>
      </w:r>
      <w:r w:rsidR="00F25510">
        <w:rPr>
          <w:rFonts w:cs="Verdana"/>
          <w:iCs/>
          <w:kern w:val="28"/>
          <w:sz w:val="28"/>
          <w:szCs w:val="18"/>
        </w:rPr>
        <w:t xml:space="preserve"> </w:t>
      </w:r>
      <w:r w:rsidRPr="00F25510">
        <w:rPr>
          <w:rFonts w:cs="Verdana"/>
          <w:iCs/>
          <w:kern w:val="28"/>
          <w:sz w:val="28"/>
          <w:szCs w:val="18"/>
        </w:rPr>
        <w:t>товаров.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Уплата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производиться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разово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периодически.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Если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выбор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пал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разовую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уплату,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единовременно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весь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срок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действия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Срок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внесения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бюджет,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ограничен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выдачей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органом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свидетельства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Несколько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более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сложным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является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порядок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периодической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состоит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исчисленная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делится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части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декларантом: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первая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часть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трехпроцентных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-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выдачи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органом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свидетельства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ввоза;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последующие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части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-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1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3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месяца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учетом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должна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производиться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истечения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ранее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оплаченного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периода.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Сроки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таких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частей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устанавливаются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органами.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Предлагаемый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периодический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порядок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является,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первый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взгляд,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более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выгодным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плательщиков.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Действительно,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сразу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изымать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оборотных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средств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данном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знать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следующие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2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нюанса:</w:t>
      </w:r>
    </w:p>
    <w:p w:rsidR="00B31D23" w:rsidRPr="00F25510" w:rsidRDefault="00B31D23" w:rsidP="00F2551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</w:rPr>
      </w:pP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во-первых,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плательщика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возлагается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обязанность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четкому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отслеживанию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сроков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периодической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своевременного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внесения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каждого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очередного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бюджет.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противном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декларант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ответственность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неуплату;</w:t>
      </w:r>
    </w:p>
    <w:p w:rsidR="00B31D23" w:rsidRPr="00F25510" w:rsidRDefault="00B31D23" w:rsidP="00F25510">
      <w:pPr>
        <w:numPr>
          <w:ilvl w:val="1"/>
          <w:numId w:val="1"/>
        </w:numPr>
        <w:autoSpaceDE w:val="0"/>
        <w:autoSpaceDN w:val="0"/>
        <w:adjustRightInd w:val="0"/>
        <w:spacing w:line="360" w:lineRule="auto"/>
        <w:ind w:left="0" w:firstLine="709"/>
        <w:jc w:val="both"/>
        <w:rPr>
          <w:kern w:val="28"/>
          <w:sz w:val="28"/>
        </w:rPr>
      </w:pPr>
      <w:r w:rsidRPr="00F25510">
        <w:rPr>
          <w:rFonts w:cs="Tahoma"/>
          <w:kern w:val="28"/>
          <w:sz w:val="28"/>
          <w:szCs w:val="18"/>
        </w:rPr>
        <w:t>–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во-вторых,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периодической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наряду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платежами,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проценты.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Они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взимаются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частей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после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желании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оставить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республике,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заявив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таможенный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режим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свободного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обращения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снова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обращения),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пользоваться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этими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дальнейшем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столько,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сколько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угодно.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стоит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опасаться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возможного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«повторного»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обложения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-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второй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-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Нужно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просуммировать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трехпроцентные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доплатить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недостающую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максимальной,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требуемой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оставить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заявив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окончания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(!)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Таким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образом,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получается,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последующем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своевременном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изменении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сумма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может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уплачена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единовременно,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частям»,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рассрочку.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аналогии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принятой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финансовых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организациях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практикой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пользование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рассрочкой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государство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взимает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проценты,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начисляются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размере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1/360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рефинансирования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Национального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банка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каждый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день,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прошедший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дня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день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соответствующей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части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платежа.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Проценты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необходимо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уплачивать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рамках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временного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ввоза,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изменении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Существует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еще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нюанс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отношении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помещаемых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таможенный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режим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свободного</w:t>
      </w:r>
      <w:r w:rsidR="00F25510">
        <w:rPr>
          <w:rFonts w:cs="Arial"/>
          <w:bCs/>
          <w:iCs/>
          <w:kern w:val="28"/>
          <w:sz w:val="28"/>
          <w:szCs w:val="18"/>
        </w:rPr>
        <w:t xml:space="preserve"> </w:t>
      </w:r>
      <w:r w:rsidRPr="00F25510">
        <w:rPr>
          <w:rFonts w:cs="Arial"/>
          <w:bCs/>
          <w:iCs/>
          <w:kern w:val="28"/>
          <w:sz w:val="28"/>
          <w:szCs w:val="18"/>
        </w:rPr>
        <w:t>обращения</w:t>
      </w:r>
      <w:r w:rsidRPr="00F25510">
        <w:rPr>
          <w:rFonts w:cs="Tahoma"/>
          <w:kern w:val="28"/>
          <w:sz w:val="28"/>
          <w:szCs w:val="18"/>
        </w:rPr>
        <w:t>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Правда,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касается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заявления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такого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были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белорусской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требует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связи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этим,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следует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предостеречь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лиц,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решили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заявить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только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для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того,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чтобы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«уйти»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Дело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том,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что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ввезенные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которые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останутся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Беларуси,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равно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нужно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«растамаживать»,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заявляя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свободного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обращения.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Однако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ситуации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наряду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всеми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причитающимися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налогами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дополнительно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будут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начислены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проценты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(не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путать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пеней).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Они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исчисляются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дня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выдачи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органом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свидетельства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помещении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под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режим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переработки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территории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заканчиваются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днем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пошлин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налогов.</w:t>
      </w:r>
    </w:p>
    <w:p w:rsidR="00B31D23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rFonts w:cs="Tahoma"/>
          <w:kern w:val="28"/>
          <w:sz w:val="28"/>
          <w:szCs w:val="18"/>
        </w:rPr>
      </w:pPr>
      <w:r w:rsidRPr="00F25510">
        <w:rPr>
          <w:rFonts w:cs="Tahoma"/>
          <w:kern w:val="28"/>
          <w:sz w:val="28"/>
          <w:szCs w:val="18"/>
        </w:rPr>
        <w:t>Размер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процентов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составляет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1/360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ставки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рефинансирования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Национального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банка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Республики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Беларусь,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действующей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день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уплаты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таможенных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платежей.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Это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же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полной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мере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относится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и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случаю,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когда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готовые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товары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не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вывозятся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за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границу,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а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остаются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в</w:t>
      </w:r>
      <w:r w:rsidR="00F25510">
        <w:rPr>
          <w:rFonts w:cs="Tahoma"/>
          <w:kern w:val="28"/>
          <w:sz w:val="28"/>
          <w:szCs w:val="18"/>
        </w:rPr>
        <w:t xml:space="preserve"> </w:t>
      </w:r>
      <w:r w:rsidRPr="00F25510">
        <w:rPr>
          <w:rFonts w:cs="Tahoma"/>
          <w:kern w:val="28"/>
          <w:sz w:val="28"/>
          <w:szCs w:val="18"/>
        </w:rPr>
        <w:t>Беларуси.</w:t>
      </w:r>
    </w:p>
    <w:p w:rsidR="00B61BDF" w:rsidRPr="00F25510" w:rsidRDefault="00B31D23" w:rsidP="00F25510">
      <w:pPr>
        <w:autoSpaceDE w:val="0"/>
        <w:autoSpaceDN w:val="0"/>
        <w:adjustRightInd w:val="0"/>
        <w:spacing w:line="360" w:lineRule="auto"/>
        <w:ind w:firstLine="709"/>
        <w:jc w:val="center"/>
        <w:rPr>
          <w:b/>
          <w:kern w:val="28"/>
          <w:sz w:val="28"/>
          <w:szCs w:val="28"/>
        </w:rPr>
      </w:pPr>
      <w:r w:rsidRPr="00F25510">
        <w:rPr>
          <w:sz w:val="28"/>
        </w:rPr>
        <w:br w:type="page"/>
      </w:r>
      <w:r w:rsidR="00B61BDF" w:rsidRPr="00F25510">
        <w:rPr>
          <w:b/>
          <w:kern w:val="28"/>
          <w:sz w:val="28"/>
          <w:szCs w:val="28"/>
        </w:rPr>
        <w:t>СПИСОК</w:t>
      </w:r>
      <w:r w:rsidR="00F25510" w:rsidRPr="00F25510">
        <w:rPr>
          <w:b/>
          <w:kern w:val="28"/>
          <w:sz w:val="28"/>
          <w:szCs w:val="28"/>
        </w:rPr>
        <w:t xml:space="preserve"> </w:t>
      </w:r>
      <w:r w:rsidR="00B61BDF" w:rsidRPr="00F25510">
        <w:rPr>
          <w:b/>
          <w:kern w:val="28"/>
          <w:sz w:val="28"/>
          <w:szCs w:val="28"/>
        </w:rPr>
        <w:t>ИСПОЛЬЗОВАННЫХ</w:t>
      </w:r>
      <w:r w:rsidR="00F25510" w:rsidRPr="00F25510">
        <w:rPr>
          <w:b/>
          <w:kern w:val="28"/>
          <w:sz w:val="28"/>
          <w:szCs w:val="28"/>
        </w:rPr>
        <w:t xml:space="preserve"> </w:t>
      </w:r>
      <w:r w:rsidR="00B61BDF" w:rsidRPr="00F25510">
        <w:rPr>
          <w:b/>
          <w:kern w:val="28"/>
          <w:sz w:val="28"/>
          <w:szCs w:val="28"/>
        </w:rPr>
        <w:t>ИСТОЧНИКОВ</w:t>
      </w:r>
    </w:p>
    <w:p w:rsidR="00B61BDF" w:rsidRPr="00F25510" w:rsidRDefault="00B61BDF" w:rsidP="00F25510">
      <w:pPr>
        <w:autoSpaceDE w:val="0"/>
        <w:autoSpaceDN w:val="0"/>
        <w:adjustRightInd w:val="0"/>
        <w:spacing w:line="360" w:lineRule="auto"/>
        <w:ind w:firstLine="709"/>
        <w:jc w:val="both"/>
        <w:rPr>
          <w:kern w:val="28"/>
          <w:sz w:val="28"/>
          <w:szCs w:val="28"/>
        </w:rPr>
      </w:pPr>
    </w:p>
    <w:p w:rsidR="00B61BDF" w:rsidRPr="00F25510" w:rsidRDefault="00B61BDF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bCs/>
          <w:caps/>
          <w:kern w:val="28"/>
          <w:sz w:val="28"/>
          <w:szCs w:val="28"/>
        </w:rPr>
      </w:pPr>
      <w:r w:rsidRPr="00F25510">
        <w:rPr>
          <w:rFonts w:ascii="Times New Roman" w:hAnsi="Times New Roman" w:cs="Times New Roman"/>
          <w:kern w:val="28"/>
          <w:sz w:val="28"/>
          <w:szCs w:val="28"/>
        </w:rPr>
        <w:t>Конституция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Беларусь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1994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года.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Принята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республиканском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референдуме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24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ноября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1996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года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(с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изменениями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дополнениями,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принятыми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республиканских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референдумах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24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ноября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1996г.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17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октября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2004г.)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Минск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«Беларусь»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2004г.</w:t>
      </w:r>
    </w:p>
    <w:p w:rsidR="00B61BDF" w:rsidRPr="00F25510" w:rsidRDefault="00B61BDF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25510">
        <w:rPr>
          <w:rFonts w:ascii="Times New Roman" w:hAnsi="Times New Roman" w:cs="Times New Roman"/>
          <w:kern w:val="28"/>
          <w:sz w:val="28"/>
          <w:szCs w:val="28"/>
        </w:rPr>
        <w:t>Таможенный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кодекс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Беларусь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от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4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января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2007г.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204-З.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Принят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Палатой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представителей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декабря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2006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года.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Одобрен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Советом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декабря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2006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года.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(Национальный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реестр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правовых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актов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Беларусь,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24.01.2007,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17,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рег.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№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2/1301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от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11.01.2007).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Юридическая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база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«ЮСИАС»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2008г.</w:t>
      </w:r>
    </w:p>
    <w:p w:rsidR="00B61BDF" w:rsidRPr="00F25510" w:rsidRDefault="00B61BDF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25510">
        <w:rPr>
          <w:rFonts w:ascii="Times New Roman" w:hAnsi="Times New Roman" w:cs="Times New Roman"/>
          <w:kern w:val="28"/>
          <w:sz w:val="28"/>
          <w:szCs w:val="28"/>
        </w:rPr>
        <w:t>Козырин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А.Н.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Таможенное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право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России: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Учеб.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Пособие.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М.: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СПАРК,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2004г.</w:t>
      </w:r>
    </w:p>
    <w:p w:rsidR="00B61BDF" w:rsidRPr="00F25510" w:rsidRDefault="00B61BDF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F25510">
        <w:rPr>
          <w:rFonts w:ascii="Times New Roman" w:hAnsi="Times New Roman" w:cs="Times New Roman"/>
          <w:kern w:val="28"/>
          <w:sz w:val="28"/>
          <w:szCs w:val="28"/>
        </w:rPr>
        <w:t>Основы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таможенного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дела: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Учеб.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Пособие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в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7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вып.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Вып.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1: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Развитие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таможенного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дела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в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России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/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Науч.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Ред.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П.В.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Дзюбенко.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М.,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РИО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РТА,</w:t>
      </w:r>
      <w:r w:rsid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2001.</w:t>
      </w:r>
    </w:p>
    <w:p w:rsidR="00B61BDF" w:rsidRPr="00F25510" w:rsidRDefault="00F25510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Основы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таможенного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дела: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Учеб.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Пособие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в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7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вып.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Вып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4: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Правовое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регулирование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таможенного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дела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/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Ю.В.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Воробьев,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Под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общ.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ред.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В.А.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Максимцева.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М.,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РИО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РТА,</w:t>
      </w:r>
      <w:r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="00B61BDF" w:rsidRPr="00F25510">
        <w:rPr>
          <w:rFonts w:ascii="Times New Roman" w:hAnsi="Times New Roman" w:cs="Times New Roman"/>
          <w:kern w:val="28"/>
          <w:sz w:val="28"/>
          <w:szCs w:val="28"/>
        </w:rPr>
        <w:t>2002.</w:t>
      </w:r>
    </w:p>
    <w:p w:rsidR="00B31D23" w:rsidRPr="00F25510" w:rsidRDefault="00B61BDF" w:rsidP="00F25510">
      <w:pPr>
        <w:pStyle w:val="HTML"/>
        <w:numPr>
          <w:ilvl w:val="0"/>
          <w:numId w:val="2"/>
        </w:numPr>
        <w:spacing w:line="360" w:lineRule="auto"/>
        <w:ind w:left="0" w:firstLine="0"/>
        <w:jc w:val="both"/>
        <w:rPr>
          <w:rFonts w:ascii="Times New Roman" w:hAnsi="Times New Roman"/>
          <w:sz w:val="28"/>
        </w:rPr>
      </w:pPr>
      <w:r w:rsidRPr="00F25510">
        <w:rPr>
          <w:rFonts w:ascii="Times New Roman" w:hAnsi="Times New Roman" w:cs="Times New Roman"/>
          <w:kern w:val="28"/>
          <w:sz w:val="28"/>
          <w:szCs w:val="28"/>
        </w:rPr>
        <w:t>Таможенное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право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Республики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Беларусь.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Черевченко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Н.В.;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2007г.,</w:t>
      </w:r>
      <w:r w:rsidR="00F25510" w:rsidRPr="00F25510">
        <w:rPr>
          <w:rFonts w:ascii="Times New Roman" w:hAnsi="Times New Roman" w:cs="Times New Roman"/>
          <w:kern w:val="28"/>
          <w:sz w:val="28"/>
          <w:szCs w:val="28"/>
        </w:rPr>
        <w:t xml:space="preserve"> </w:t>
      </w:r>
      <w:r w:rsidRPr="00F25510">
        <w:rPr>
          <w:rFonts w:ascii="Times New Roman" w:hAnsi="Times New Roman" w:cs="Times New Roman"/>
          <w:kern w:val="28"/>
          <w:sz w:val="28"/>
          <w:szCs w:val="28"/>
        </w:rPr>
        <w:t>300с.</w:t>
      </w:r>
      <w:bookmarkStart w:id="0" w:name="_GoBack"/>
      <w:bookmarkEnd w:id="0"/>
    </w:p>
    <w:sectPr w:rsidR="00B31D23" w:rsidRPr="00F25510" w:rsidSect="00F25510">
      <w:headerReference w:type="even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5C1E" w:rsidRDefault="00C85C1E">
      <w:r>
        <w:separator/>
      </w:r>
    </w:p>
  </w:endnote>
  <w:endnote w:type="continuationSeparator" w:id="0">
    <w:p w:rsidR="00C85C1E" w:rsidRDefault="00C85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5C1E" w:rsidRDefault="00C85C1E">
      <w:r>
        <w:separator/>
      </w:r>
    </w:p>
  </w:footnote>
  <w:footnote w:type="continuationSeparator" w:id="0">
    <w:p w:rsidR="00C85C1E" w:rsidRDefault="00C85C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510" w:rsidRDefault="00F25510" w:rsidP="003C3E79">
    <w:pPr>
      <w:pStyle w:val="a3"/>
      <w:framePr w:wrap="around" w:vAnchor="text" w:hAnchor="margin" w:xAlign="right" w:y="1"/>
      <w:rPr>
        <w:rStyle w:val="a5"/>
      </w:rPr>
    </w:pPr>
  </w:p>
  <w:p w:rsidR="00F25510" w:rsidRDefault="00F25510" w:rsidP="00B31D23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13EF7"/>
    <w:multiLevelType w:val="singleLevel"/>
    <w:tmpl w:val="D47E8FA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ascii="Times New Roman" w:eastAsia="Times New Roman" w:hAnsi="Times New Roman" w:cs="Times New Roman"/>
        <w:b w:val="0"/>
        <w:i w:val="0"/>
        <w:sz w:val="28"/>
      </w:rPr>
    </w:lvl>
  </w:abstractNum>
  <w:abstractNum w:abstractNumId="1">
    <w:nsid w:val="56746055"/>
    <w:multiLevelType w:val="multilevel"/>
    <w:tmpl w:val="3AF394DD"/>
    <w:lvl w:ilvl="0">
      <w:numFmt w:val="bullet"/>
      <w:lvlText w:val="·"/>
      <w:lvlJc w:val="left"/>
      <w:pPr>
        <w:tabs>
          <w:tab w:val="num" w:pos="825"/>
        </w:tabs>
        <w:ind w:left="825" w:hanging="150"/>
      </w:pPr>
      <w:rPr>
        <w:rFonts w:ascii="Tahoma" w:hAnsi="Tahoma"/>
        <w:b/>
        <w:color w:val="000080"/>
        <w:sz w:val="16"/>
      </w:rPr>
    </w:lvl>
    <w:lvl w:ilvl="1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2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3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4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5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6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7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  <w:lvl w:ilvl="8">
      <w:numFmt w:val="bullet"/>
      <w:lvlText w:val=" "/>
      <w:lvlJc w:val="left"/>
      <w:pPr>
        <w:tabs>
          <w:tab w:val="num" w:pos="825"/>
        </w:tabs>
        <w:ind w:left="825" w:hanging="825"/>
      </w:pPr>
      <w:rPr>
        <w:rFonts w:ascii="Tahoma" w:hAnsi="Tahoma"/>
        <w:b/>
        <w:sz w:val="16"/>
      </w:r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1D23"/>
    <w:rsid w:val="003C3E79"/>
    <w:rsid w:val="003D40CF"/>
    <w:rsid w:val="00457070"/>
    <w:rsid w:val="0063757B"/>
    <w:rsid w:val="00661F64"/>
    <w:rsid w:val="00B31D23"/>
    <w:rsid w:val="00B61BDF"/>
    <w:rsid w:val="00C85C1E"/>
    <w:rsid w:val="00F25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B7CF2EC-66B4-45C6-9461-3A3E5ACA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D2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31D2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character" w:styleId="a5">
    <w:name w:val="page number"/>
    <w:uiPriority w:val="99"/>
    <w:rsid w:val="00B31D23"/>
    <w:rPr>
      <w:rFonts w:cs="Times New Roman"/>
    </w:rPr>
  </w:style>
  <w:style w:type="paragraph" w:styleId="HTML">
    <w:name w:val="HTML Preformatted"/>
    <w:basedOn w:val="a"/>
    <w:link w:val="HTML0"/>
    <w:uiPriority w:val="99"/>
    <w:rsid w:val="00B61B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Pr>
      <w:rFonts w:ascii="Courier New" w:hAnsi="Courier New" w:cs="Courier New"/>
    </w:rPr>
  </w:style>
  <w:style w:type="paragraph" w:styleId="a6">
    <w:name w:val="footer"/>
    <w:basedOn w:val="a"/>
    <w:link w:val="a7"/>
    <w:uiPriority w:val="99"/>
    <w:rsid w:val="00F2551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F25510"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2294</Words>
  <Characters>13081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СКОЛЬКО ТАМОЖЕННЫХ ПОШЛИН И НАЛОГОВ «ТРЕБУЕТ» КАЖДЫЙ ТАМОЖЕННЫЙ РЕЖИМ</vt:lpstr>
    </vt:vector>
  </TitlesOfParts>
  <Company>Microsoft</Company>
  <LinksUpToDate>false</LinksUpToDate>
  <CharactersWithSpaces>15345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СКОЛЬКО ТАМОЖЕННЫХ ПОШЛИН И НАЛОГОВ «ТРЕБУЕТ» КАЖДЫЙ ТАМОЖЕННЫЙ РЕЖИМ</dc:title>
  <dc:subject/>
  <dc:creator>Admin</dc:creator>
  <cp:keywords/>
  <dc:description/>
  <cp:lastModifiedBy>admin</cp:lastModifiedBy>
  <cp:revision>2</cp:revision>
  <dcterms:created xsi:type="dcterms:W3CDTF">2014-02-20T21:12:00Z</dcterms:created>
  <dcterms:modified xsi:type="dcterms:W3CDTF">2014-02-20T21:12:00Z</dcterms:modified>
</cp:coreProperties>
</file>