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B61" w:rsidRDefault="00C76B61">
      <w:pPr>
        <w:widowControl w:val="0"/>
        <w:spacing w:before="120"/>
        <w:jc w:val="center"/>
        <w:rPr>
          <w:rFonts w:eastAsia="MS Mincho"/>
          <w:b/>
          <w:bCs/>
          <w:color w:val="000000"/>
          <w:sz w:val="32"/>
          <w:szCs w:val="32"/>
        </w:rPr>
      </w:pPr>
      <w:r>
        <w:rPr>
          <w:rFonts w:eastAsia="MS Mincho"/>
          <w:b/>
          <w:bCs/>
          <w:color w:val="000000"/>
          <w:sz w:val="32"/>
          <w:szCs w:val="32"/>
        </w:rPr>
        <w:t xml:space="preserve">Система национальных счетов. </w:t>
      </w:r>
    </w:p>
    <w:p w:rsidR="00C76B61" w:rsidRDefault="00C76B61">
      <w:pPr>
        <w:widowControl w:val="0"/>
        <w:spacing w:before="120"/>
        <w:jc w:val="center"/>
        <w:rPr>
          <w:rFonts w:eastAsia="MS Mincho"/>
          <w:color w:val="000000"/>
          <w:sz w:val="28"/>
          <w:szCs w:val="28"/>
        </w:rPr>
      </w:pPr>
      <w:r>
        <w:rPr>
          <w:rFonts w:eastAsia="MS Mincho"/>
          <w:color w:val="000000"/>
          <w:sz w:val="28"/>
          <w:szCs w:val="28"/>
        </w:rPr>
        <w:t>Курсовая работа по экономической кибернетике на тему</w:t>
      </w:r>
    </w:p>
    <w:p w:rsidR="00C76B61" w:rsidRDefault="00C76B61">
      <w:pPr>
        <w:widowControl w:val="0"/>
        <w:spacing w:before="120"/>
        <w:jc w:val="center"/>
        <w:rPr>
          <w:rFonts w:eastAsia="MS Mincho"/>
          <w:color w:val="000000"/>
          <w:sz w:val="28"/>
          <w:szCs w:val="28"/>
        </w:rPr>
      </w:pPr>
      <w:r>
        <w:rPr>
          <w:rFonts w:eastAsia="MS Mincho"/>
          <w:color w:val="000000"/>
          <w:sz w:val="28"/>
          <w:szCs w:val="28"/>
        </w:rPr>
        <w:t xml:space="preserve">Выполнил : студент 432 группы дневного отделения факультета "Экономическая Кибернетика" Зенкин Денис Владимирович </w:t>
      </w:r>
    </w:p>
    <w:p w:rsidR="00C76B61" w:rsidRDefault="00C76B61">
      <w:pPr>
        <w:widowControl w:val="0"/>
        <w:spacing w:before="120"/>
        <w:jc w:val="center"/>
        <w:rPr>
          <w:rFonts w:eastAsia="MS Mincho"/>
          <w:color w:val="000000"/>
          <w:sz w:val="28"/>
          <w:szCs w:val="28"/>
        </w:rPr>
      </w:pPr>
      <w:r>
        <w:rPr>
          <w:rFonts w:eastAsia="MS Mincho"/>
          <w:color w:val="000000"/>
          <w:sz w:val="28"/>
          <w:szCs w:val="28"/>
        </w:rPr>
        <w:t xml:space="preserve">Российская экономическая академия имени Г.В.Плеханова </w:t>
      </w:r>
    </w:p>
    <w:p w:rsidR="00C76B61" w:rsidRDefault="00C76B61">
      <w:pPr>
        <w:widowControl w:val="0"/>
        <w:spacing w:before="120"/>
        <w:jc w:val="center"/>
        <w:rPr>
          <w:rFonts w:eastAsia="MS Mincho"/>
          <w:color w:val="000000"/>
          <w:sz w:val="28"/>
          <w:szCs w:val="28"/>
        </w:rPr>
      </w:pPr>
      <w:r>
        <w:rPr>
          <w:rFonts w:eastAsia="MS Mincho"/>
          <w:color w:val="000000"/>
          <w:sz w:val="28"/>
          <w:szCs w:val="28"/>
        </w:rPr>
        <w:t>Москва</w:t>
      </w:r>
    </w:p>
    <w:p w:rsidR="00C76B61" w:rsidRDefault="00C76B61">
      <w:pPr>
        <w:widowControl w:val="0"/>
        <w:spacing w:before="120"/>
        <w:ind w:firstLine="567"/>
        <w:jc w:val="center"/>
        <w:rPr>
          <w:rFonts w:eastAsia="MS Mincho"/>
          <w:b/>
          <w:bCs/>
          <w:color w:val="000000"/>
          <w:sz w:val="28"/>
          <w:szCs w:val="28"/>
        </w:rPr>
      </w:pPr>
      <w:r>
        <w:rPr>
          <w:rFonts w:eastAsia="MS Mincho"/>
          <w:b/>
          <w:bCs/>
          <w:color w:val="000000"/>
          <w:sz w:val="28"/>
          <w:szCs w:val="28"/>
        </w:rPr>
        <w:t>Переход на систему национальных счетов.</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"Система национальных счетов ( в дальнейшем именуемая СНС ) есть адекватный рыночной экономике национальный учет, завершаемый на макроуровне системой взаимосвязанных статистических показателей, построенной в виде определенного набора счетов и балансовых таблиц, характеризующих результаты экономической деятельности, структуру экономики и важнейшие взаимосвязи в национальном хозяйстве" вот что утверждают учебники об относительно новом явлении в статистике России, как СНС.</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 xml:space="preserve">Переход к СНС, можно сказать прямо, был процессом неминуемым. В условиях рыночной экономики старая система основных макроэкономических показателей патологически не могла бы быть действенным орудием статистического учета и отображения глобальных хозяйственных процессов и их результатов.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В отличие от национальных счетов зарубежных стран в отечественной СНС предусматривается возможность разграниченния между сферой материального производства и сферой нематериальных услуг. Связующим звеном в системе макроэкономических показателей являются скоординированные между собой показатели формирования, распределения, перераспределения и использова ния национального дохода как совокупности доходов от экономической дея тельности и создания и движения конечного продукта как главной харак теристики социально-экономического развития как страны, так и региона.</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Как макростатистическая модель экономики СНС в отличии от баланса народного хозяйства (в дальнейшем именуемого БНХ) базируется на идеоло гии равноправия материального производства и сферы нематериальных услуг, концепции факторов производства, реальности связей экономически самосто ятельных хозяйствующих субъектов в условиях отделения непосредственного государственного управления от хозяйственной деятельности. При этом в качестве инструментов саморегулирования рыночной экономики ппризнаются механизмы спроса и предложения, конкуренции, естественного прелива капи талов при весьма значительных функциях государственного регулирования. Последнее особенно актуально в связи с необходимостью разработки меха низма социальной защиты населения и проведения стратегических струк турных преобразований в экономике.</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Преобразования в системе показателей, порядке сбора, обработки и ана лиза статистических данных должны обеспечить информацией территориальные и вертикальные органы управления, а также предпринимательские структуры в целях принятия управленческих решений.</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Как известно, основы современной отечественной макроэкономической ста тистики закладывались еще в 20-х годах текущего столетия. Начиная же с 70-х годов все более отчетливо ощущалась потребность в кардинальной перестройке макростатистической модели вопроизводства типа БНХ и соот ветственно учета по стране в целом. Концепция главенство материального производства , акцент на отражение движения потребительной стоимости в ущерб стоимостному аспекту воспроизводства, несовместимость с между народными стандартными и многое другое все это не только чрезвычайно обедняло балансовые построения, но и практически лишало их функции инструмента реализации экономических методов управления хозяйством.</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Общепринято, что одной из важнейших закономерностей развития экономики является возрастание роли сферы услуг по мере экономического роста, что приводит прежде всего к увеличению доли трудовых, материальных и финан совых ресурсов, используемых в этом секторе экономики. Эта законо мерность ( как ни странно характерная и для России ) требует более широкого ( чем это принято в БНХ ) подхода к интерпретации экономической сферы или сферы производства потребительных стоимостей, результатов об щественного производства и эффективности, роли отдельных факторов произ водства, изменений в уровне жизни.</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Не секрет, что схема БНХ складывалась в период забвения рыночных мето дов регулирования. Посему многие аттрибуты товарно-денежных отношений, соответствующие разнообразным формам расчетов и движению капитала между учатсниками хозяйственных операций, отсуствовали. Сказанное, конечно, не означает, что эти категории находились вообще вне поля зрения БНХ. Но схема финансового балланса ( точнее баланса национального дохода по кон цепции БНХ ) , например , явно упрощенно интерпретирует движение доходов.</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В 80-е годы потребность в более глубоком и комплексном анализе макроэ кономики стала ощущаться более ясно. В дополнение к БНХ стал разрабаты ваться целый ряд новых таблиц, содержащих данные о некоторых аспектах социально-экономического развития, не охваченных БНХ ( например разработка баланса нематериальных услуг, затрат на их оказание, исполь зования услуг различными слоями населения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Следующим важным шагом в совершенствовании макроэкономической статис тики в России стало внедрение в регулярную статистическую практику пока зателя валового внутреннего продукта ( ВВП ), широко применяемого в меж дународной практике и основывающегося на принципах СНС. Исчисление ВВП и его модификации валового национального продукта ( ВНП ) облегчило меж дународное сопоставление уровней и темпов экономического развития, структурыю народного хозяйства; позволило в принципе углубить экономи ческий анализ на макроуровне, рассматривать экономический процесс через призму широкой концепции сферы производства продукта (дохода).</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Все бы было просто прекрасно, но расчеты ВНП осуществлялись несистем но, т.е. они получались вне скоординированной системы макропоказателей и на основе действовавшей устаревшей системы учета. Отсюда происходила не состыкованность разных уровней формирования новых макропоказателей, крайняя ограниченность включения их в аналитический оборот для принятия управленческих решений. Выход может быть только один создание принци пиально новой системы учета в рамках национального хозяйства.</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 xml:space="preserve">Переход на СНС объективно необходим также из-за трансформации команд но-административной экономики в рыночную, неизбежного формирования еди ного евроазиатского экономического пространства на рыночных принципах, включения стран в интенсивное международное разделения труда . Все ин теграционные мировые процессы, так бурно происходящие в мире ( от них еще никому не удавалось улизнуть ) сами по себе подразумевают создание 1единой0 системы учета и основных макроэкономических показатей. </w:t>
      </w:r>
    </w:p>
    <w:p w:rsidR="00C76B61" w:rsidRDefault="00C76B61">
      <w:pPr>
        <w:widowControl w:val="0"/>
        <w:spacing w:before="120"/>
        <w:jc w:val="center"/>
        <w:rPr>
          <w:rFonts w:eastAsia="MS Mincho"/>
          <w:b/>
          <w:bCs/>
          <w:color w:val="000000"/>
          <w:sz w:val="28"/>
          <w:szCs w:val="28"/>
        </w:rPr>
      </w:pPr>
      <w:r>
        <w:rPr>
          <w:rFonts w:eastAsia="MS Mincho"/>
          <w:b/>
          <w:bCs/>
          <w:color w:val="000000"/>
          <w:sz w:val="28"/>
          <w:szCs w:val="28"/>
        </w:rPr>
        <w:t xml:space="preserve">Сравнительный анализ основных концепций и показателей СНС и БНХ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СНС и БНХ системы взаимоувязанных экономических показателей, предс тавленные в особой форме в виде таблиц или счетов или в сочетании и тех и других. Они являются моделями годового экономического оборота на макроуровне.</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Сложившаяся в течении многих лет схема БНХ представляла собой систему взаимоувязанных балансовых таблиц, каждая из которых отражала отдельные, наиболее принципиальные аспекты экономического процесса с позиции верховенства материального производства по отношению к другим видам дея тельности. К ним можно причислить: воспроизводство материального про дукта совокупного общественного продукта и чистого материального про дукта национального дохода; воспроизводство трудовых ресурсов, воспроизводство национального богатства.</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Принципиальными положениями макростатистической модели экономики типа БНХ можно считать разграничение двух сфер материального производства и непроизводственной сферы, а внутри материального производства деление на производство средств производства ( 1 подразделение ) и производство предметов потребления ( 2 подразделение ); деление совокупного общест венного продукта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а) по стоимости на перенесенную стоимость (с) и на вновь созданную стоимость с выделением необходимого и прибавочного продукта (v+m);</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б) по натурально-вещественному составу на фонд возмещения ( произ водственное потребление ), фонд потребления ( непроизводственное потреб ление ) и фонд накопления.</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С указанными структурными характеристииками связано моделирование про порций и взаимосвязей между составными элементами совокупного обществен ного продукта по стоимости и натурально-вещественному составу, отража ющее механизм простого и расширенного воспроизводства материального про дукта.</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Подход к моделированию макроэкономических процессов на примере баланса народного хозяйства типичный пример высокого абстрагирования с иг норированием воздействия конкретных форм организации производстваи раз личий в экономическом поведении хозяйствующих субъектов. БНХ же, в силу указанных причин, был пассивным инструментом даже в период командно-ад министративной системы управления с ее жесткой регламентацией деятель ности "сверху". Хотя было бы неправильно не признать, что экономико-ста тистическая информация раскрывала, правда в весьма ущербном виде, аспек ты воспроизводства и прежде всего важнейшие экономические пропорции в материальном производстве.</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В условиях перехода к рыночной экономике нужен переход на модель уче та, ориентированную на эту "ужасную" рыночную экономику. В основе построения такой модели учета системы национальных счетов лежит кон цепция "хозяйственного кругооборота".</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 xml:space="preserve">Национальное хозяйство может рассматриваться как большая многомерная система, в которой выделяются объективно существующие элементы, отображающие многообразие экономических явлений. Стержень такой системы экономический оборот. Он включает основные экономические процессы производство, потребление, накопление, перераспределение. Перераспреде ление означает передачу (получение) продукта, услуги, денег, осуществля емую в одностороннем порядке, т.е., как говорила Сова безвозДмездно.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Переход на СНС согласуется с современной методологией комплексного экономико-статистического анализа макроэкономики. Имеется в виду органи ческое соединение экономического и социального аспектов изучения произ водственного механизма и сопряжение статистических и математико-статис тических методов.</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Важной частью методологии комплексного анализа стала типология макроэ кономических структур. Структура национального хозяйства понимается как совокупность устойчивых связей между хозяйствующими субъектами, обеспе чивающая целостность, т.е. сохранение основных свойств объекта изучения при различных внешних и внутренних изменениях.</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Концепция СНС, в отличии от БНХ, рассматривает экономику как единое целое, без проведения принципиальных различий между производством ма териальных благ и деятельностью по окозанию услуг. Это позволяет дать оценку результатам и факторам, обусловившим эти результаты, потокам продукции, услуг, доходам и расходам между всеми хозяйствующими субъек тами в рамках однозначно трактуемой и непротиворечивой модели воспроиз водства экономики.</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Итак, подведем некоторые итоги и выделим следующие различия</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1) в задачах</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БНХ обслуживал потребности централизованного планирования общест венного производства; его основная задача наблюдение за процессом производства и движения материальных ресурсов;</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СНС же отвечает потребностям рыночной экономики, где на первый план выдвигаются финансово-денежные отношения.</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1Вывод:0 кто же будет использовать лом, когда рядом стоит отбойный моло-</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ток?</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2) в концепциях</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а) трактовка производственной деятельности в БНХ это деятельность в сфере материального производства, в СНС это любая деятельность, приносящая доход ( вот это широта размаха!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б) трактовка стоимостного состава продукта в БНХ это перенесенная стоимость ( затраты предметов труда и износ основных фондов ) и вновь созданная стоимость ( первичные доходы участников производства: населе ния, занятого в сфере материального производства, и предприятий этой же сферы, т.е. оплата труда, чистая продукция личного подсобного хозяйства, прибыль и пр. ). В СНС стоимость продукта включает: затраты на предметы труда ( в более широкой трактовке как промежуточное потребление ма териальных ресурсов и услуг как материального, так и нематериального характера ) и оплату факторов производства ( оплата труда, прибыль, рен та, проценты, дивиденды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3) в методологиях</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а) в содержании показателей производства в результате неодинакового подхода к определению сферы создания национального дохода ( продукта ), а также в содержании показателей потребления ( промежуточного и конечно го ), распределения и перераспределения доходов</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б) в подходек трактовке финансовых потоков ( займов, кредитов...) , БНХ рассматривает оных как формы временного перераспределения националь ного дохода. В СНС же они есть вид инвестиций отдельных секторов эко номики</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в) в подходе к классифицированию доходов и расходов, а также в определении категории сбережений. В СНС проводится четкое разграничение текущих доходов и расходов, которые балансируются с помощью показателя "сбережения", рассматриваемого как источник финансирования капитальных затрат. В БНХ четкого деления доходов и расходов ( и особенно перераспределительных потоков ) на текущие и единовременные не предус мотрено, и поэтому нет позиции "сбережения", как разницы между текущими доходами и расходами. В то же время отдельные виды сбережений ( прирост денежной наличности, прирост вкладов в банках ) рассматриваются как форма перераспределения национального дохода</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4) в форме представления данных</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а) в СНС в видее совокупности взаимосвязанных двусторонних счетов и таблиц. Из бух. учета заимствован принцип двойной записи</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в БНХ в виде таблиц, где показываются ресурсы и использование материальных благ и доходов</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б) в БНХ более замкнутая система показателей, так как она ограничи вается отражением движения доходов лишь в той степени, в какой она свя зана с движением материальных благ</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 xml:space="preserve">в СНС более развитая модель экономического оборота, так как позволяет проследить его от производства продуктов и услуг и образования доходов до получения конечных финансовых результатов изменения финан совых активов и пассивов и характеристики их состава.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Несмотря на все вышеописанные ужасы различий между нашими друзьями СНС и БНХ, в них можно найти и довольно много общих идей и принципов:</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1) в задачах</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а) попытка обеспечения концептуальной основы для системного анализа макроэкономических показателей, т.е. определение системы показателей, хараактеризующих развитие экономики, их содержание, взаимосвязи.</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б) координация экономической статистики, т.е. обеспечение методоло гического единства показателей макроэкономической и других разделов ста тистики</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2) в медотологических подходах</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а) принцип моделирования национального хозяйства как развивающейся и воспроизводимой экономической системы, связанной с внешним миром, признание необходимости структуирования объекта посредством группировок и классификаций, выделения отдельных стадий воспроизводственного процес са</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б) ограничение потоков потребительской стоимости от потоков дохо дов</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в) выделение потоков потребительных стоимостей и доходов с одной стороны, и запасов ресурсов с другой</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г) разграничение доходов от производства от доходов, полученных в ппроцессе перераспределения</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д) группировка продукции на конечную и промежуточную, потребления также на конечное и промежуточное</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е) проведение различия между воспроизводимыми и невоспроизводимыми фондами ( активами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ж) выделение основных фондов и материальных оборотных средств</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з) отграничение экономических операций ( производство, покупка, расходы ) от их субъектов ( домашние хозяйства, предприятия ...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 xml:space="preserve">ы) исчисление накопления как на "валовой", так и на "чистой" осно ве, т.е. до и после вычета амортизации.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 xml:space="preserve">Между СНС и БНХ существует много общего и в подходах к оценке показа телей ( в текущих и постоянных ценах ), в трактовке деятельности подсоб ных хозяйств населения, в методах оценки продукции, не принимающей то варно-денежной формы.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 xml:space="preserve">Таким образом, несмотря на то, что СНС и БНХ суть альтернативные системы учета и макроэкономических показателей, в методическом плане построение "переходных ключей" между ними реально.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_3Интеграция БНХ и СНС и метод "переходных ключей" Метод переходных ключей, по сути дела, есть метод перехода от основных макроэкономических показателей БНХ к аналогичным в СНС. Давайте проил люстрируем этот метод на примере изменения одного из ведущих показателей социально-экономического развития страны национального дохода.</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 xml:space="preserve">Мы не станем рассматривать остальные два метода, соответствующие раз личным стадиям определения национального дохода ( распределительный ме тод и метод конечного использования ). Главное существует непроти воречивая система перевода показателей БНХ в СНС. </w:t>
      </w:r>
    </w:p>
    <w:p w:rsidR="00C76B61" w:rsidRDefault="00C76B61">
      <w:pPr>
        <w:widowControl w:val="0"/>
        <w:spacing w:before="120"/>
        <w:jc w:val="center"/>
        <w:rPr>
          <w:rFonts w:eastAsia="MS Mincho"/>
          <w:b/>
          <w:bCs/>
          <w:color w:val="000000"/>
          <w:sz w:val="28"/>
          <w:szCs w:val="28"/>
        </w:rPr>
      </w:pPr>
      <w:r>
        <w:rPr>
          <w:rFonts w:eastAsia="MS Mincho"/>
          <w:b/>
          <w:bCs/>
          <w:color w:val="000000"/>
          <w:sz w:val="28"/>
          <w:szCs w:val="28"/>
        </w:rPr>
        <w:t xml:space="preserve">Структура и Содержание системы национальных счетов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Для правильного понимания показателей и особенностей отражения их вза имосвязей, остановимся на следующих структурных характеристиках СНС:</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границы производства, разграничение между "внутренней" и "националь ной" экономикой;</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 xml:space="preserve">группировка хозяующих объектов и экономических операций.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Итак, 1границы производства0...</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Производственна деятельность включает:</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а) рыночную деятельность;</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б) нерыночную деятельность ( производство продуктов в хозяйствах населения для собственного потребления, бесплатные услуги госучреждений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В этом понятии не охватывается:</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а) теневая экономика;</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б) бесплатные услуги в домашних хозяйствах.</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Теневая экономика, в принципе, должна учитываться в СНС, так как в этой сфере производятся продукты, услуги и доходы, участвующие в эконо мическом обороте. Большинство стран делает поправки к данным, собранным с помощью налоговых деклараций, с учетом сокрытия части доходов. Но в любом случае уголовно наказуемые деяния не рассматриваются как произ водственная деятельность ( типа наркобизнеса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Во многих странах производят оценки стоимости домашниих услуг, но по казывают их отдельно от основных счетов. Они составляют от 25 до 51% ВВП, причем эта величина в значительной мере зависит от используемого метода оценки: метода выпуска ( по рыночной цене на аналогичные услуги ) или метода затрат ( исходя из оценки затрат времени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Для разграничения категорий "внутренняя" и "национальная" экономика вводятся понятия "экономическая территория", "резидент" и "центр эконо мического интереса".</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Понятие "экономической территории" отнюдь не совпадает с адми нистративно-территориальным делением страны. Это не только территория, административно управляемая правиительством, но это также и воздушное пространство, территориальные воды данной страны и континентальный шельф в международных водах, в отношении которого страна имеет исключетельное право на добычу сырья, топлива и т.д. К экономической территории также относятся и т.н. территориальные анклавы за рубежом, т.е. зоны в других странах, используемые правительством ( на основе аренды или частной собственности ) для дипломатических, военных, научных или других целей. Соответственно территориальные анклавы зарубежных государств в данной стране не включаются в общую экономическую территорию.</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Юридические или физические лица считаются резидентами данной страны, если центр их экономических интересов связан с экономической территорией страны. Под сие понятие не попадают лица, презжающие в страну на корот кий срок ( меньше года ) туристы, артисты, сезонные рабочие и пр. Так же исключаются работники дипломатических представительств и военнослужа щие других стран. Резиденты предприятия данной страны это экономи ческие единицы, занятые хозяйственной деятельностью на экономической территории данной страны, включая предприятия с иностранными инвестиция ми, филиалы зарубежных фирм и др. Строительные бригады данной страны, работающие временно в других странах, рассматриваются как резиденты страны, где расположены строительные предприятия, с которых они были от командированы.</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 xml:space="preserve">Национальная экономика охватывает деятельность резидентов независимо от их местонахождения. Понятие "внутренняя экономика" учитывает деятель ность на территории ( административное понятие ) как резидентов, так и нерезидентов.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Группировки хозяйствующих субъектов и экономических операций долгое время ограничивались делением хозяйства на отрасли. Сейчас же нужно брать на вооружение и принцип группировки единиц по секторам. Это совсем не значит, что нам стоит вовсе отказаться от отраслевого деления, но крен должен быть в сторону его альтернативы.</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Группировка экономики по секторам центральная в статистической моде ли рыночной экономики. Она осуществлляется с целью изучения потоков до ходов и расходов, изменения активов и пассивов в институциионной едини це. Последняя представляет собой такую хозяйственную единицу, которая ведет полный набор бухгалтерских счетов и является юридическим лицом. Если хозяйственная единица не обладает обеими характеристиками иннститу ционной единицы, то для идентификации применяют дополнительные критерии:</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а) домашние хозяйства не ведут полного набора счетов, но всегда самос тоятельно распоряжаются своими ресурсами, поэтому они считаются институ ционными единицами;</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б) единицы, кроме домашних хозяйств, не ведущие полного набора счетов ( не имеющие самостоятельного баланса ), относятся к тем институционным единицам, куда их счета входят составной частью;</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в) единицы, которые ведут полный набор счетов, но не являются юриди ческими лицами, относятся к тем институционным единницам, которые их контролируют.</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В соответствии с типами экономического поведения институционные едини цы объединяются в более укрупненные структуры секторы:</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а) нефинансовые предприятия или предприятия по производству товаров;</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б) финансовые учреждения;</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в) общегосударственное управление;</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г) негосударственные некоммерческие организации ( общественные органи зации ), обслуживающие домашние хозяйства;</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д) домашние хозяйства;</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е) "остальной мир" ( этот сектор охватывает зарубежные экономические единицы в той мере, в какой они осуществляют операции с резидентами дан ной страны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В отличие от группировки хозяйствующих субъектов группировка экономи ческих операций производится на основе единого критерия, т.е. они груп пируются одинаково и по отрослям и по секторам. Экономические операции агрегируются на три основные группы:</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а) операции с продуктами и услугами;</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б) распределительные операции;</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 xml:space="preserve">в) финансовые операции.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Основные счета и показатели СНС. Внедряемая в статистическую практику СНС базируется на международных стандартах по национальному счетоводству ООН ( СНС ООН ) и ЕЭС.</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Европейская система интегрированных экономических счетов ( ЕСИЭС ) ос новывается на тех же теоретических и методологических принципах, что и СНС ООН, однако в ряде аспектов можно найти и разницу. Прежде всего это сама форма изложения материала. Все понятия и определения в ЕСИЭС сформулированы более четко. После определения каждого показателя перечисляются его составные элементы, которые в него входят, но в отно шении которых у показателя могут возникнуть сомнения.</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В СНС ООН и ЕСИЭС группировки по отраслям производятся на основе раз ных методик. При группировке по секторам финансовые учреждения в ЕСИЭС делатся на два сектора: "Кредитные учреждения" и "Страховые организа ции", в то время как в СНС ООН они объединены в один сектор "Финансовые учреждения".</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Более существенны различия в системе счетов:</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а) в СНС ООН эта система носитболее сложный характер;</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б) в СНС ООН, где на разных уровнях используются различные схемы сче тов, в ЕСИЭС система счетов носит сквозной характер, т.е. схемы счетов, используемых на разных уровнях, почти одни и те же, что существенно об легчает их сведение в анализ;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в) счета ЕСИЭС являются более дезагрегированными по сравнению с СНС ООН;</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г) в ЕСИЭС более детально разработана характеристика распределительных операций, отражающих распределение и перераспределение доходов, а также финансовых операций;</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д) ЕСИЭС также обеспечивает дополнительную информацию в отношении по казателей производства, таблиц "затраты-выпуск" В то же время ЕСИЭС не включает балансовые таблицы активов и пассивов.</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Схема взаимосвязей важнейших показателей СНС ( см. таблицу 2 ) дается для макроуровня и каждого сектора макроэкономики. В этой схеме отсуству ет счет продуктов и услуг, так как он не является "сквозным", т.е. не составляется одновременно для национальной экономики в целом и ее от дельных секторов.</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 xml:space="preserve">Сальдо конечного финансового результата экономической деятельности ( чистые кредиты и чистые долги ) в принципе должно равняться сальдо из менения финансовых активов и пассивов балансирующемму показателю фи нансового счета, который характеризует изменение финансовых активов и пассивов по их видам и позволяет проанализировать структурные изменения в финансовом состоянии страны или секторе национальной экономики. </w:t>
      </w:r>
    </w:p>
    <w:p w:rsidR="00C76B61" w:rsidRDefault="00C76B61">
      <w:pPr>
        <w:widowControl w:val="0"/>
        <w:spacing w:before="120"/>
        <w:jc w:val="center"/>
        <w:rPr>
          <w:rFonts w:eastAsia="MS Mincho"/>
          <w:b/>
          <w:bCs/>
          <w:color w:val="000000"/>
          <w:sz w:val="28"/>
          <w:szCs w:val="28"/>
        </w:rPr>
      </w:pPr>
      <w:r>
        <w:rPr>
          <w:rFonts w:eastAsia="MS Mincho"/>
          <w:b/>
          <w:bCs/>
          <w:color w:val="000000"/>
          <w:sz w:val="28"/>
          <w:szCs w:val="28"/>
        </w:rPr>
        <w:t xml:space="preserve">Сводные счета внутренней экономики </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В заключении кратко рассмотрим вышеперечисленые основные сводные сче та, применяемые в СНС:</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а) счет продуктов и услуг служит для отображения формирования ресурсов продуктов и услуг за счет их производства и импорта и их использование на конечное потреблление, накопление, экспорт;</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б) в счете производства отражаются операции, относящиеся к процессу производства. При этом производственная деятельность охватывает деятель ность предприяти, организаций и отдельных лиц как в сфере материального производства, так и в сфере нематериальных услуг;</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в) в счете образования доходов отражаются распределительные операции, непосредственно связанные с процессом производства, которые приводят к формированию первичных доходов его участников: оплаты труда, чистых на логов на производство, валовой прибыли предприятий и смешанных доходов населения;</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г) в счете распределения расходов отражается общая величина доходов, полученных и переданных хозяйственными единицами в результате производс твенной деятельности, от собственности, а также в результате перераспределительных процессов. В новой СНС ООН этот счет разделен на два счета: присвоения первичных доходов и вторичного распределения дохо да;</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д) в счете использования располагаемого дохода отражаются расходы на конечное потребление домашних хозяйств, государственных учреждений и не государственных некоммерческих ( общественных ) организаций, и оставшая ся часть располагаемого дохода, представляющая собой валовое сбережение;</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е) в счете капитальных затрат показываются формирование ресурсов для капитальных затрат и их использование на накопление основных фондов и материальных оборотных средств, приобретение земли и нематериальных ак тивов. Разница между суммой ресурсов и использования характеризует ко нечный финансовый результат экономической деятельности в данном периоде.</w:t>
      </w:r>
    </w:p>
    <w:p w:rsidR="00C76B61" w:rsidRDefault="00C76B61">
      <w:pPr>
        <w:widowControl w:val="0"/>
        <w:spacing w:before="120"/>
        <w:ind w:firstLine="567"/>
        <w:jc w:val="both"/>
        <w:rPr>
          <w:rFonts w:eastAsia="MS Mincho"/>
          <w:color w:val="000000"/>
          <w:sz w:val="24"/>
          <w:szCs w:val="24"/>
        </w:rPr>
      </w:pPr>
      <w:r>
        <w:rPr>
          <w:rFonts w:eastAsia="MS Mincho"/>
          <w:color w:val="000000"/>
          <w:sz w:val="24"/>
          <w:szCs w:val="24"/>
        </w:rPr>
        <w:t xml:space="preserve">Внешнеэкономическую деятельность предполагается охватить тремя счета ми: текущих операций ( движение продуктов, услуг, доходов ), капитальных затрат ( движение капитала ) и финансовым счетом ( изменение финансовых активвов и пассивов. </w:t>
      </w:r>
      <w:bookmarkStart w:id="0" w:name="_GoBack"/>
      <w:bookmarkEnd w:id="0"/>
    </w:p>
    <w:sectPr w:rsidR="00C76B6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12B"/>
    <w:rsid w:val="00122FDD"/>
    <w:rsid w:val="003F712B"/>
    <w:rsid w:val="006978CC"/>
    <w:rsid w:val="00C76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C244D7A-8504-471F-87C2-FF92B0A4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rPr>
  </w:style>
  <w:style w:type="character" w:customStyle="1" w:styleId="a4">
    <w:name w:val="Текст Знак"/>
    <w:link w:val="a3"/>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16845</Words>
  <Characters>9603</Characters>
  <Application>Microsoft Office Word</Application>
  <DocSecurity>0</DocSecurity>
  <Lines>80</Lines>
  <Paragraphs>52</Paragraphs>
  <ScaleCrop>false</ScaleCrop>
  <HeadingPairs>
    <vt:vector size="2" baseType="variant">
      <vt:variant>
        <vt:lpstr>Название</vt:lpstr>
      </vt:variant>
      <vt:variant>
        <vt:i4>1</vt:i4>
      </vt:variant>
    </vt:vector>
  </HeadingPairs>
  <TitlesOfParts>
    <vt:vector size="1" baseType="lpstr">
      <vt:lpstr>Система национальных счетов</vt:lpstr>
    </vt:vector>
  </TitlesOfParts>
  <Company>PERSONAL COMPUTERS</Company>
  <LinksUpToDate>false</LinksUpToDate>
  <CharactersWithSpaces>26396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национальных счетов</dc:title>
  <dc:subject/>
  <dc:creator>USER</dc:creator>
  <cp:keywords/>
  <dc:description/>
  <cp:lastModifiedBy>admin</cp:lastModifiedBy>
  <cp:revision>2</cp:revision>
  <dcterms:created xsi:type="dcterms:W3CDTF">2014-01-26T20:49:00Z</dcterms:created>
  <dcterms:modified xsi:type="dcterms:W3CDTF">2014-01-26T20:49:00Z</dcterms:modified>
</cp:coreProperties>
</file>