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B29" w:rsidRPr="00FE3E8D" w:rsidRDefault="00CD0B29" w:rsidP="00212382">
      <w:pPr>
        <w:spacing w:before="100" w:beforeAutospacing="1" w:after="100" w:afterAutospacing="1"/>
        <w:ind w:firstLine="540"/>
        <w:jc w:val="both"/>
        <w:rPr>
          <w:color w:val="000000"/>
        </w:rPr>
      </w:pPr>
      <w:r w:rsidRPr="00FE3E8D">
        <w:rPr>
          <w:color w:val="000000"/>
        </w:rPr>
        <w:t xml:space="preserve">                                                   Введение</w:t>
      </w:r>
    </w:p>
    <w:p w:rsidR="00CD443B" w:rsidRPr="00FE3E8D" w:rsidRDefault="00CD443B" w:rsidP="00212382">
      <w:pPr>
        <w:spacing w:before="100" w:beforeAutospacing="1" w:after="100" w:afterAutospacing="1"/>
        <w:ind w:firstLine="540"/>
        <w:jc w:val="both"/>
        <w:rPr>
          <w:color w:val="000000"/>
        </w:rPr>
      </w:pPr>
      <w:r w:rsidRPr="00FE3E8D">
        <w:rPr>
          <w:color w:val="000000"/>
        </w:rPr>
        <w:t xml:space="preserve">Мировые рынки драгоценных металлов, и в первую очередь золота, являются одним из самых интересных объектов для инвестиций и профессиональных спекуляций: они обладают практически всеми качествами финансового инструмента. </w:t>
      </w:r>
    </w:p>
    <w:p w:rsidR="00CD443B" w:rsidRPr="00FE3E8D" w:rsidRDefault="00CD443B" w:rsidP="00212382">
      <w:pPr>
        <w:spacing w:before="100" w:beforeAutospacing="1" w:after="100" w:afterAutospacing="1"/>
        <w:ind w:firstLine="540"/>
        <w:jc w:val="both"/>
        <w:rPr>
          <w:color w:val="000000"/>
        </w:rPr>
      </w:pPr>
      <w:r w:rsidRPr="00FE3E8D">
        <w:rPr>
          <w:color w:val="000000"/>
        </w:rPr>
        <w:t>Золото и платина – единственные металлы, которые встречаются в природе в чистом виде и для их получения не требуется дорогостоящий и трудоемкий металлургический процесс. Кроме того, драгметаллы чрезвычайно компактны, и транспортировка даже от весьма удаленного места добычи и производства до потребителя прибавляет к конечной цене реализации считанные проценты.</w:t>
      </w:r>
    </w:p>
    <w:p w:rsidR="00CD443B" w:rsidRPr="00FE3E8D" w:rsidRDefault="00CD443B" w:rsidP="00212382">
      <w:pPr>
        <w:spacing w:before="100" w:beforeAutospacing="1" w:after="100" w:afterAutospacing="1"/>
        <w:ind w:firstLine="540"/>
        <w:jc w:val="both"/>
        <w:rPr>
          <w:color w:val="000000"/>
        </w:rPr>
      </w:pPr>
      <w:r w:rsidRPr="00FE3E8D">
        <w:rPr>
          <w:color w:val="000000"/>
        </w:rPr>
        <w:t xml:space="preserve">Традиционно драгоценные металлы, в особенности золото, воспринимаются как символ стабильности и надежности. Поэтому нынешняя политическая обстановка в мире повышает инвестиционный спрос на драгоценные металлы. Другие причины повышения спроса - бурный рост многих развивающихся рынков, в первую очередь Индии и Китая, и девальвация другого инвестиционного инструмента - американского доллара. </w:t>
      </w:r>
    </w:p>
    <w:p w:rsidR="00CD443B" w:rsidRDefault="00CD443B" w:rsidP="00212382">
      <w:pPr>
        <w:spacing w:before="100" w:beforeAutospacing="1" w:after="100" w:afterAutospacing="1"/>
        <w:ind w:firstLine="540"/>
        <w:jc w:val="both"/>
        <w:rPr>
          <w:color w:val="000000"/>
        </w:rPr>
      </w:pPr>
      <w:r w:rsidRPr="00FE3E8D">
        <w:rPr>
          <w:color w:val="000000"/>
        </w:rPr>
        <w:t>Как сообщает информационное агентство Bloomberg со ссылкой на Мировой золотой совет (World Gold Council), в 2004 г. потребление золота в мире выросло на 8%. Вместе с тем, добыча золота отстает от спроса. В результате растут цены. По данным Bloomberg, нынешний период роста цен - самый продолжительный, он продолжается более 30 лет. Все это делает золото и другие драгоценные металлы одним из наиболее привлекательных инвестиционных инструментов.</w:t>
      </w:r>
    </w:p>
    <w:p w:rsidR="00FE3E8D" w:rsidRPr="00FE3E8D" w:rsidRDefault="00FE3E8D" w:rsidP="00212382">
      <w:pPr>
        <w:spacing w:before="100" w:beforeAutospacing="1" w:after="100" w:afterAutospacing="1"/>
        <w:ind w:firstLine="540"/>
        <w:jc w:val="both"/>
        <w:rPr>
          <w:color w:val="000000"/>
        </w:rPr>
      </w:pPr>
      <w:r>
        <w:rPr>
          <w:color w:val="000000"/>
        </w:rPr>
        <w:t xml:space="preserve">                                              Мотивы частных инвесторов</w:t>
      </w:r>
    </w:p>
    <w:p w:rsidR="00D024A7" w:rsidRPr="00FE3E8D" w:rsidRDefault="00D024A7" w:rsidP="00212382">
      <w:pPr>
        <w:spacing w:before="100" w:beforeAutospacing="1" w:after="100" w:afterAutospacing="1"/>
        <w:ind w:firstLine="540"/>
        <w:jc w:val="both"/>
        <w:rPr>
          <w:color w:val="000000"/>
        </w:rPr>
      </w:pPr>
      <w:r w:rsidRPr="00FE3E8D">
        <w:rPr>
          <w:color w:val="000000"/>
        </w:rPr>
        <w:t>Мотивы, побуждающие частных инвесторов к вложению своих средств в драгоценные металлы, остаются практически неизменными на протяжении всей истории развития рынка. Это, прежде всего, уникальные физические и потребительские свойства, благодаря которым драгоценные металлы:</w:t>
      </w:r>
    </w:p>
    <w:p w:rsidR="00D024A7" w:rsidRPr="00FE3E8D" w:rsidRDefault="00D024A7" w:rsidP="00212382">
      <w:pPr>
        <w:numPr>
          <w:ilvl w:val="0"/>
          <w:numId w:val="1"/>
        </w:numPr>
        <w:spacing w:before="100" w:beforeAutospacing="1" w:after="100" w:afterAutospacing="1"/>
        <w:ind w:left="0" w:firstLine="540"/>
        <w:jc w:val="both"/>
        <w:rPr>
          <w:color w:val="000000"/>
        </w:rPr>
      </w:pPr>
      <w:r w:rsidRPr="00FE3E8D">
        <w:rPr>
          <w:color w:val="000000"/>
        </w:rPr>
        <w:t xml:space="preserve">обладают высокой капиталоемкостью, являются долгосрочным аккумулятором стоимости; </w:t>
      </w:r>
    </w:p>
    <w:p w:rsidR="00D024A7" w:rsidRPr="00FE3E8D" w:rsidRDefault="00D024A7" w:rsidP="00212382">
      <w:pPr>
        <w:numPr>
          <w:ilvl w:val="0"/>
          <w:numId w:val="1"/>
        </w:numPr>
        <w:spacing w:before="100" w:beforeAutospacing="1" w:after="100" w:afterAutospacing="1"/>
        <w:ind w:left="0" w:firstLine="540"/>
        <w:jc w:val="both"/>
        <w:rPr>
          <w:color w:val="000000"/>
        </w:rPr>
      </w:pPr>
      <w:r w:rsidRPr="00FE3E8D">
        <w:rPr>
          <w:color w:val="000000"/>
        </w:rPr>
        <w:t xml:space="preserve">выступают в качестве «последнего прибежища» для капитала; </w:t>
      </w:r>
    </w:p>
    <w:p w:rsidR="00D024A7" w:rsidRPr="00FE3E8D" w:rsidRDefault="00D024A7" w:rsidP="00212382">
      <w:pPr>
        <w:numPr>
          <w:ilvl w:val="0"/>
          <w:numId w:val="1"/>
        </w:numPr>
        <w:spacing w:before="100" w:beforeAutospacing="1" w:after="100" w:afterAutospacing="1"/>
        <w:ind w:left="0" w:firstLine="540"/>
        <w:jc w:val="both"/>
        <w:rPr>
          <w:color w:val="000000"/>
        </w:rPr>
      </w:pPr>
      <w:r w:rsidRPr="00FE3E8D">
        <w:rPr>
          <w:color w:val="000000"/>
        </w:rPr>
        <w:t xml:space="preserve">имеют высокую ликвидность (особенно золото и серебро), развитую инфраструктуру международного обращения и рыночного ценообразования; </w:t>
      </w:r>
    </w:p>
    <w:p w:rsidR="00D024A7" w:rsidRPr="00FE3E8D" w:rsidRDefault="00D024A7" w:rsidP="00212382">
      <w:pPr>
        <w:numPr>
          <w:ilvl w:val="0"/>
          <w:numId w:val="1"/>
        </w:numPr>
        <w:spacing w:before="100" w:beforeAutospacing="1" w:after="100" w:afterAutospacing="1"/>
        <w:ind w:left="0" w:firstLine="540"/>
        <w:jc w:val="both"/>
        <w:rPr>
          <w:color w:val="000000"/>
        </w:rPr>
      </w:pPr>
      <w:r w:rsidRPr="00FE3E8D">
        <w:rPr>
          <w:color w:val="000000"/>
        </w:rPr>
        <w:t>предоставляют хорошие возможности для диверсификации вложений.</w:t>
      </w:r>
    </w:p>
    <w:p w:rsidR="00D024A7" w:rsidRPr="00FE3E8D" w:rsidRDefault="00D024A7" w:rsidP="00212382">
      <w:pPr>
        <w:spacing w:before="100" w:beforeAutospacing="1" w:after="100" w:afterAutospacing="1"/>
        <w:ind w:firstLine="540"/>
        <w:jc w:val="both"/>
        <w:rPr>
          <w:color w:val="000000"/>
        </w:rPr>
      </w:pPr>
      <w:r w:rsidRPr="00FE3E8D">
        <w:rPr>
          <w:color w:val="000000"/>
        </w:rPr>
        <w:t>Капиталоемкость</w:t>
      </w:r>
    </w:p>
    <w:p w:rsidR="00D024A7" w:rsidRPr="00FE3E8D" w:rsidRDefault="00D024A7" w:rsidP="00212382">
      <w:pPr>
        <w:spacing w:before="100" w:beforeAutospacing="1" w:after="100" w:afterAutospacing="1"/>
        <w:ind w:firstLine="540"/>
        <w:jc w:val="both"/>
        <w:rPr>
          <w:color w:val="000000"/>
        </w:rPr>
      </w:pPr>
      <w:r w:rsidRPr="00FE3E8D">
        <w:rPr>
          <w:color w:val="000000"/>
        </w:rPr>
        <w:t>Драгоценные металлы исторически выступали в качестве надежного вместилища стоимости по следующим причинам:</w:t>
      </w:r>
    </w:p>
    <w:p w:rsidR="00D024A7" w:rsidRPr="00FE3E8D" w:rsidRDefault="00D024A7" w:rsidP="00212382">
      <w:pPr>
        <w:numPr>
          <w:ilvl w:val="0"/>
          <w:numId w:val="2"/>
        </w:numPr>
        <w:spacing w:before="100" w:beforeAutospacing="1" w:after="100" w:afterAutospacing="1"/>
        <w:ind w:left="0" w:firstLine="540"/>
        <w:jc w:val="both"/>
        <w:rPr>
          <w:color w:val="000000"/>
        </w:rPr>
      </w:pPr>
      <w:r w:rsidRPr="00FE3E8D">
        <w:rPr>
          <w:color w:val="000000"/>
        </w:rPr>
        <w:t xml:space="preserve">они практически неуничтожимы, относительно редко встречаются в природе, не могут быть произвольно изготовлены из других материалов; их добыча и производство требуют значительных трудовых и материальных затрат; </w:t>
      </w:r>
    </w:p>
    <w:p w:rsidR="00D024A7" w:rsidRPr="00FE3E8D" w:rsidRDefault="00D024A7" w:rsidP="00212382">
      <w:pPr>
        <w:numPr>
          <w:ilvl w:val="0"/>
          <w:numId w:val="2"/>
        </w:numPr>
        <w:spacing w:before="100" w:beforeAutospacing="1" w:after="100" w:afterAutospacing="1"/>
        <w:ind w:left="0" w:firstLine="540"/>
        <w:jc w:val="both"/>
        <w:rPr>
          <w:color w:val="000000"/>
        </w:rPr>
      </w:pPr>
      <w:r w:rsidRPr="00FE3E8D">
        <w:rPr>
          <w:color w:val="000000"/>
        </w:rPr>
        <w:t xml:space="preserve">они движимы и делимы; их вес является мерой их стоимости; </w:t>
      </w:r>
    </w:p>
    <w:p w:rsidR="00D024A7" w:rsidRPr="00FE3E8D" w:rsidRDefault="00D024A7" w:rsidP="00212382">
      <w:pPr>
        <w:numPr>
          <w:ilvl w:val="0"/>
          <w:numId w:val="2"/>
        </w:numPr>
        <w:spacing w:before="100" w:beforeAutospacing="1" w:after="100" w:afterAutospacing="1"/>
        <w:ind w:left="0" w:firstLine="540"/>
        <w:jc w:val="both"/>
        <w:rPr>
          <w:color w:val="000000"/>
        </w:rPr>
      </w:pPr>
      <w:r w:rsidRPr="00FE3E8D">
        <w:rPr>
          <w:color w:val="000000"/>
        </w:rPr>
        <w:t xml:space="preserve">их легко обрабатывать (особенно золото), что позволило им быть повсеместно востребованными для изготовления украшений и предметов быта уже при минимальном уровне развития ремесел; </w:t>
      </w:r>
    </w:p>
    <w:p w:rsidR="00D024A7" w:rsidRPr="00FE3E8D" w:rsidRDefault="00D024A7" w:rsidP="00212382">
      <w:pPr>
        <w:numPr>
          <w:ilvl w:val="0"/>
          <w:numId w:val="2"/>
        </w:numPr>
        <w:spacing w:before="100" w:beforeAutospacing="1" w:after="100" w:afterAutospacing="1"/>
        <w:ind w:left="0" w:firstLine="540"/>
        <w:jc w:val="both"/>
        <w:rPr>
          <w:color w:val="000000"/>
        </w:rPr>
      </w:pPr>
      <w:r w:rsidRPr="00FE3E8D">
        <w:rPr>
          <w:color w:val="000000"/>
        </w:rPr>
        <w:t>они легко распознаваемы, их качества достаточно просто проверить и трудно подделать.</w:t>
      </w:r>
    </w:p>
    <w:p w:rsidR="00D024A7" w:rsidRPr="00FE3E8D" w:rsidRDefault="00D024A7" w:rsidP="00212382">
      <w:pPr>
        <w:spacing w:before="100" w:beforeAutospacing="1" w:after="100" w:afterAutospacing="1"/>
        <w:ind w:firstLine="540"/>
        <w:jc w:val="both"/>
        <w:rPr>
          <w:color w:val="000000"/>
        </w:rPr>
      </w:pPr>
      <w:r w:rsidRPr="00FE3E8D">
        <w:rPr>
          <w:color w:val="000000"/>
        </w:rPr>
        <w:t>Вышеперечисленные свойства привели к тому, что драгоценные металлы стали общепринятым обменным эквивалентом средством платежа, и служили материалом для изготовления денег. По тем же причинам драгоценные металлы сохраняли свою ценность в долгосрочной перспективе, когда смена рыночных циклов приводила к падению стоимости национальных валют и промышленных товаров.</w:t>
      </w:r>
    </w:p>
    <w:p w:rsidR="00D024A7" w:rsidRPr="00FE3E8D" w:rsidRDefault="00D024A7" w:rsidP="00212382">
      <w:pPr>
        <w:spacing w:before="100" w:beforeAutospacing="1" w:after="100" w:afterAutospacing="1"/>
        <w:ind w:firstLine="540"/>
        <w:jc w:val="both"/>
        <w:rPr>
          <w:color w:val="000000"/>
        </w:rPr>
      </w:pPr>
      <w:r w:rsidRPr="00FE3E8D">
        <w:rPr>
          <w:color w:val="000000"/>
        </w:rPr>
        <w:t>«Последнее прибежище» капитала</w:t>
      </w:r>
    </w:p>
    <w:p w:rsidR="00D024A7" w:rsidRPr="00FE3E8D" w:rsidRDefault="00D024A7" w:rsidP="00212382">
      <w:pPr>
        <w:spacing w:before="100" w:beforeAutospacing="1" w:after="100" w:afterAutospacing="1"/>
        <w:ind w:firstLine="540"/>
        <w:jc w:val="both"/>
        <w:rPr>
          <w:color w:val="000000"/>
        </w:rPr>
      </w:pPr>
      <w:r w:rsidRPr="00FE3E8D">
        <w:rPr>
          <w:color w:val="000000"/>
        </w:rPr>
        <w:t>Драгоценные металлы как наличный, материальный актив не зависят от выполнения своих платежных обязательств никакими правительствами или корпорациями. Это особенно важно в современных условиях, когда большинство других объектов инвестиций представляют собой не имущество как таковое, а имущественные права, использование или реализация которых могут быть затруднены ввиду неплатежеспособности должника, ареста денежных средств или ценных бумаг на счетах, смены экономической политики какого-либо конкретного государства. Именно по этим причинам примерно четверть всех мировых запасов золота находится во владении правительств, центральных банков и других финансовых институтов как часть их международных резервов.</w:t>
      </w:r>
    </w:p>
    <w:p w:rsidR="00D024A7" w:rsidRPr="00FE3E8D" w:rsidRDefault="00D024A7" w:rsidP="00212382">
      <w:pPr>
        <w:spacing w:before="100" w:beforeAutospacing="1" w:after="100" w:afterAutospacing="1"/>
        <w:ind w:firstLine="540"/>
        <w:jc w:val="both"/>
        <w:rPr>
          <w:color w:val="000000"/>
        </w:rPr>
      </w:pPr>
      <w:r w:rsidRPr="00FE3E8D">
        <w:rPr>
          <w:color w:val="000000"/>
        </w:rPr>
        <w:t>Ликвидность</w:t>
      </w:r>
    </w:p>
    <w:p w:rsidR="00D024A7" w:rsidRPr="00FE3E8D" w:rsidRDefault="00D024A7" w:rsidP="00212382">
      <w:pPr>
        <w:spacing w:before="100" w:beforeAutospacing="1" w:after="100" w:afterAutospacing="1"/>
        <w:ind w:firstLine="540"/>
        <w:jc w:val="both"/>
        <w:rPr>
          <w:color w:val="000000"/>
        </w:rPr>
      </w:pPr>
      <w:r w:rsidRPr="00FE3E8D">
        <w:rPr>
          <w:color w:val="000000"/>
        </w:rPr>
        <w:t>Золото является одним из наиболее ликвидных активов. Его можно продать в любое время суток на любом из многочисленных рынков, расположенных в разных частях мира (чего нельзя сказать о большинстве других объектов инвестиций, включая ценные бумаги крупнейших корпораций). Кроме того, разница между котировками покупки и продажи золота сравнима со спрэдом по наиболее ликвидным акциям и облигациям. Наконец, временные затраты на продажу золота с поставкой по металлическим счетам примерно такие же, как на заключение и исполнение сделки с ценными бумагами или валютами.</w:t>
      </w:r>
    </w:p>
    <w:p w:rsidR="00D024A7" w:rsidRPr="00FE3E8D" w:rsidRDefault="00D024A7" w:rsidP="00212382">
      <w:pPr>
        <w:spacing w:before="100" w:beforeAutospacing="1" w:after="100" w:afterAutospacing="1"/>
        <w:ind w:firstLine="540"/>
        <w:jc w:val="both"/>
        <w:rPr>
          <w:color w:val="000000"/>
        </w:rPr>
      </w:pPr>
      <w:r w:rsidRPr="00FE3E8D">
        <w:rPr>
          <w:color w:val="000000"/>
        </w:rPr>
        <w:t>Диверсификация</w:t>
      </w:r>
    </w:p>
    <w:p w:rsidR="00D024A7" w:rsidRPr="00FE3E8D" w:rsidRDefault="00D024A7" w:rsidP="00212382">
      <w:pPr>
        <w:spacing w:before="100" w:beforeAutospacing="1" w:after="100" w:afterAutospacing="1"/>
        <w:ind w:firstLine="540"/>
        <w:jc w:val="both"/>
        <w:rPr>
          <w:color w:val="000000"/>
        </w:rPr>
      </w:pPr>
      <w:r w:rsidRPr="00FE3E8D">
        <w:rPr>
          <w:color w:val="000000"/>
        </w:rPr>
        <w:t>Вне зависимости от того, является политика инвестора консервативной или агрессивной, драгоценные металлы могу сыграть важную роль в диверсификации его портфеля. По этой причине большинство экспертов настойчиво рекомендуют инвесторам держать часть своих вложений в золоте. Поскольку основная часть средств обычно размещается в традиционные финансовые активы - акции и облигации включение в портфель драгоценных металлов дополняет его принципиально отличным активом. Цель диверсификации состоит в защите всего портфеля от флуктуации цен на активы каждого конкретного класса.</w:t>
      </w:r>
    </w:p>
    <w:p w:rsidR="00D024A7" w:rsidRPr="00FE3E8D" w:rsidRDefault="00D024A7" w:rsidP="00212382">
      <w:pPr>
        <w:spacing w:before="100" w:beforeAutospacing="1" w:after="100" w:afterAutospacing="1"/>
        <w:ind w:firstLine="540"/>
        <w:jc w:val="both"/>
        <w:rPr>
          <w:color w:val="000000"/>
        </w:rPr>
      </w:pPr>
      <w:r w:rsidRPr="00FE3E8D">
        <w:rPr>
          <w:color w:val="000000"/>
        </w:rPr>
        <w:t>Мировая цена золота зависит от других факторов, включающих соотношение спроса и предложения, курс доллара США, уровень инфляции и процентных ставок. Несмотря на то, что указанные факторы оказывают комплексное влияние на рынок золота, важно помнить, что они заставляют цену золота изменяться независимо от цен других активов, входящих в инвестиционный портфель.</w:t>
      </w:r>
    </w:p>
    <w:p w:rsidR="00D024A7" w:rsidRPr="00FE3E8D" w:rsidRDefault="00D024A7" w:rsidP="00212382">
      <w:pPr>
        <w:spacing w:before="100" w:beforeAutospacing="1" w:after="100" w:afterAutospacing="1"/>
        <w:ind w:firstLine="540"/>
        <w:jc w:val="both"/>
        <w:rPr>
          <w:color w:val="000000"/>
        </w:rPr>
      </w:pPr>
      <w:r w:rsidRPr="00FE3E8D">
        <w:rPr>
          <w:color w:val="000000"/>
        </w:rPr>
        <w:t>Данный график показывает, что золото является единственным активом, цена которого имеет отрицательную корреляцию с активами других классов. То есть цена золота обычно изменяется в направлении, противоположном изменению цен акций, государственных и корпоративных облигаций</w:t>
      </w:r>
    </w:p>
    <w:p w:rsidR="00CD0B29" w:rsidRPr="00FE3E8D" w:rsidRDefault="00CD443B" w:rsidP="00212382">
      <w:pPr>
        <w:spacing w:after="100" w:afterAutospacing="1"/>
        <w:jc w:val="both"/>
        <w:rPr>
          <w:color w:val="000000"/>
        </w:rPr>
      </w:pPr>
      <w:r w:rsidRPr="00FE3E8D">
        <w:rPr>
          <w:color w:val="000000"/>
        </w:rPr>
        <w:br/>
      </w:r>
      <w:r w:rsidR="00321F7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pt;margin-top:103.2pt;width:331.5pt;height:196.5pt;z-index:251657728;mso-wrap-distance-left:0;mso-wrap-distance-right:0;mso-position-horizontal-relative:text;mso-position-vertical-relative:line" o:allowoverlap="f">
            <v:imagedata r:id="rId5" o:title=""/>
            <w10:wrap type="square"/>
          </v:shape>
        </w:pict>
      </w:r>
      <w:r w:rsidR="006E75DC">
        <w:rPr>
          <w:color w:val="000000"/>
        </w:rPr>
        <w:br w:type="page"/>
      </w:r>
      <w:r w:rsidR="00FE3E8D">
        <w:rPr>
          <w:color w:val="000000"/>
        </w:rPr>
        <w:t xml:space="preserve">                                                        </w:t>
      </w:r>
      <w:r w:rsidRPr="00FE3E8D">
        <w:rPr>
          <w:color w:val="000000"/>
        </w:rPr>
        <w:t>ЗОЛОТО</w:t>
      </w:r>
    </w:p>
    <w:p w:rsidR="00CD443B" w:rsidRPr="00FE3E8D" w:rsidRDefault="00CD0B29" w:rsidP="00212382">
      <w:pPr>
        <w:spacing w:after="100" w:afterAutospacing="1"/>
        <w:ind w:firstLine="540"/>
        <w:jc w:val="both"/>
        <w:rPr>
          <w:color w:val="000000"/>
        </w:rPr>
      </w:pPr>
      <w:r w:rsidRPr="00FE3E8D">
        <w:rPr>
          <w:color w:val="000000"/>
        </w:rPr>
        <w:t>С</w:t>
      </w:r>
      <w:r w:rsidR="00CD443B" w:rsidRPr="00FE3E8D">
        <w:rPr>
          <w:color w:val="000000"/>
        </w:rPr>
        <w:t>егодня цена на золото обладает четкой тенденцией к росту. С другой стороны, нужно отметить, что золото обладает одной важной особенностью: для него существует нижний ценовой порог - $270-280 за тройскую унцию (31,135 г.). Когда цена падает до этого уровня, ведущие мировые производители прекращают добычу, поскольку она становится неэффективной. В результате предложение сокращается, и цены начинают расти.</w:t>
      </w:r>
    </w:p>
    <w:p w:rsidR="00CD443B" w:rsidRPr="00FE3E8D" w:rsidRDefault="00CD443B" w:rsidP="00212382">
      <w:pPr>
        <w:spacing w:before="100" w:beforeAutospacing="1" w:after="100" w:afterAutospacing="1"/>
        <w:ind w:firstLine="540"/>
        <w:jc w:val="both"/>
        <w:rPr>
          <w:color w:val="000000"/>
        </w:rPr>
      </w:pPr>
      <w:r w:rsidRPr="00FE3E8D">
        <w:rPr>
          <w:color w:val="000000"/>
        </w:rPr>
        <w:t xml:space="preserve">По данным международной исследовательской компании Gold Field Mineral Services (GFMS) 70% всего мирового производства золота приходится на восемь стран. Россия занимает пятое место после ЮАР, США, Австралии и Китая, опережая Индонезию, Перу и Канаду. По данным Союза золотопромышленников РФ в 2004 году в нашей стране было произведено 180,5 тонн благородного металла. </w:t>
      </w:r>
      <w:r w:rsidR="00D024A7" w:rsidRPr="00FE3E8D">
        <w:rPr>
          <w:color w:val="000000"/>
        </w:rPr>
        <w:t>Золото составляет главную статью в государственных резервах многих стран - США, Франции, Италии, Германии, Голландии и др. В среднем с 1968 года золото, в частности, дорожает на 4% в год. Только за минувший 2005 год оно подросло в цене почти на сто пунктов за тройскую унцию (это общепринятая весовая единица для драгметаллов, равная 31,1 г) с 428 до 513 долларов, обеспечив своим владельцам совсем недурную прибыль в 25% годовых в валюте.</w:t>
      </w:r>
    </w:p>
    <w:p w:rsidR="00CD443B" w:rsidRPr="00FE3E8D" w:rsidRDefault="00CD443B" w:rsidP="00212382">
      <w:pPr>
        <w:ind w:firstLine="540"/>
        <w:jc w:val="both"/>
        <w:rPr>
          <w:color w:val="000000"/>
        </w:rPr>
      </w:pPr>
      <w:r w:rsidRPr="00FE3E8D">
        <w:rPr>
          <w:color w:val="000000"/>
        </w:rPr>
        <w:t xml:space="preserve">Российский рынок золота отличают свободные цены, доступность информации, достаточно давно и устойчиво действующие законы и нормы регулирования. Все это делает его наиболее свободным и, следовательно, наиболее активным по сравнению с рынками других драгоценных металлов. </w:t>
      </w:r>
    </w:p>
    <w:p w:rsidR="00CD443B" w:rsidRPr="00FE3E8D" w:rsidRDefault="00CD443B" w:rsidP="00212382">
      <w:pPr>
        <w:ind w:firstLine="540"/>
        <w:jc w:val="both"/>
        <w:rPr>
          <w:color w:val="000000"/>
        </w:rPr>
      </w:pPr>
      <w:r w:rsidRPr="00FE3E8D">
        <w:rPr>
          <w:color w:val="000000"/>
        </w:rPr>
        <w:t xml:space="preserve">Наша страна имеет существенное преимущество перед другими золотодобывающими государствами: в России велико число россыпных месторождений, в то время как в других странах месторождения этого типа практически истощены и добыча ведется в подавляющем большинстве случаев на рудных месторождениях. Это означает, что себестоимость добычи золота в России значительно ниже, чем в других странах. </w:t>
      </w:r>
    </w:p>
    <w:p w:rsidR="00CD443B" w:rsidRPr="00FE3E8D" w:rsidRDefault="00CD443B" w:rsidP="00212382">
      <w:pPr>
        <w:ind w:firstLine="540"/>
        <w:jc w:val="both"/>
        <w:rPr>
          <w:color w:val="000000"/>
        </w:rPr>
      </w:pPr>
      <w:r w:rsidRPr="00FE3E8D">
        <w:rPr>
          <w:color w:val="000000"/>
        </w:rPr>
        <w:t xml:space="preserve">Этими факторами объясняется значительное число золотодобывающих предприятий: в настоящее время в России в этой сфере работают более 600 компаний. Менее половины из них – крупные и средние предприятия. Остальные компании – мелкие предприятия, которые добывают менее 100 кг золота в год (т.е. имеют годовой оборот менее $1 млн). При грамотной модернизации производства и оптимизации управления, а также при слиянии с другими проектами, небольшие компании становятся эффективным источником дохода и поэтому представляют большой интерес для инвесторов. </w:t>
      </w:r>
    </w:p>
    <w:p w:rsidR="00B5409A" w:rsidRPr="00FE3E8D" w:rsidRDefault="00CD443B" w:rsidP="00212382">
      <w:pPr>
        <w:ind w:firstLine="540"/>
        <w:jc w:val="both"/>
        <w:rPr>
          <w:color w:val="000000"/>
        </w:rPr>
      </w:pPr>
      <w:r w:rsidRPr="00FE3E8D">
        <w:rPr>
          <w:color w:val="000000"/>
        </w:rPr>
        <w:t>По прогнозам ведущих мировых аналитиков в ближайшие 5-10 лет спрос на золото будет опережать предложение, а, значит, рост мировых цен может продолжиться. Это означает, что проекты золотодобычи, особенно связанные с существующими производствами (их модернизацией и развитием) будут все более привлекательными с точки зрения инвестиций.</w:t>
      </w:r>
    </w:p>
    <w:p w:rsidR="00CD443B" w:rsidRPr="00FE3E8D" w:rsidRDefault="006E75DC" w:rsidP="00212382">
      <w:pPr>
        <w:spacing w:before="100" w:beforeAutospacing="1" w:after="100" w:afterAutospacing="1"/>
        <w:ind w:firstLine="540"/>
        <w:jc w:val="both"/>
        <w:rPr>
          <w:color w:val="000000"/>
        </w:rPr>
      </w:pPr>
      <w:r>
        <w:rPr>
          <w:color w:val="000000"/>
        </w:rPr>
        <w:br w:type="page"/>
      </w:r>
      <w:r w:rsidR="00FE3E8D">
        <w:rPr>
          <w:color w:val="000000"/>
        </w:rPr>
        <w:t xml:space="preserve">                                          </w:t>
      </w:r>
      <w:r w:rsidR="00CD443B" w:rsidRPr="00FE3E8D">
        <w:rPr>
          <w:color w:val="000000"/>
        </w:rPr>
        <w:t>СЕРЕБРО</w:t>
      </w:r>
    </w:p>
    <w:p w:rsidR="00CD443B" w:rsidRPr="00FE3E8D" w:rsidRDefault="00CD443B" w:rsidP="00212382">
      <w:pPr>
        <w:spacing w:before="100" w:beforeAutospacing="1" w:after="100" w:afterAutospacing="1"/>
        <w:ind w:firstLine="540"/>
        <w:jc w:val="both"/>
        <w:rPr>
          <w:color w:val="000000"/>
        </w:rPr>
      </w:pPr>
      <w:r w:rsidRPr="00FE3E8D">
        <w:rPr>
          <w:color w:val="000000"/>
        </w:rPr>
        <w:t xml:space="preserve">В отличие от золота, регулирование на рынке серебра проработано не столь хорошо, а, следовательно, привлекательность операций на нем несколько ниже. Кроме того, рынок серебра отличается большей волатильностью, то есть колебания цен на нем значительно сильнее. Однако существенно более низкая цена серебра позволяет оперировать на рынке сравнительно небольшими средствами, что открывает путь мелким и средним инвесторам. В результате обороты рынка серебра сравнимы с оборотами рынка золота.  </w:t>
      </w:r>
    </w:p>
    <w:p w:rsidR="00CD443B" w:rsidRPr="00FE3E8D" w:rsidRDefault="00CD443B" w:rsidP="00212382">
      <w:pPr>
        <w:ind w:firstLine="540"/>
        <w:jc w:val="both"/>
        <w:rPr>
          <w:color w:val="000000"/>
        </w:rPr>
      </w:pPr>
      <w:r w:rsidRPr="00FE3E8D">
        <w:rPr>
          <w:color w:val="000000"/>
        </w:rPr>
        <w:t xml:space="preserve">Кроме того, росту активности способствуют последние прогнозы поведения цен, основанные на изучении спроса и предложения. Согласно оценкам в ближайшие 5-10 лет серебро будет дорожать. </w:t>
      </w:r>
      <w:r w:rsidR="00321F70">
        <w:rPr>
          <w:color w:val="000000"/>
        </w:rPr>
        <w:pict>
          <v:shape id="_x0000_i1025" type="#_x0000_t75" style="width:470.25pt;height:222pt">
            <v:imagedata r:id="rId6" o:title=""/>
            <o:lock v:ext="edit" cropping="t"/>
          </v:shape>
        </w:pict>
      </w:r>
    </w:p>
    <w:p w:rsidR="00161974" w:rsidRPr="00FE3E8D" w:rsidRDefault="00161974" w:rsidP="00212382">
      <w:pPr>
        <w:ind w:firstLine="540"/>
        <w:jc w:val="both"/>
        <w:rPr>
          <w:color w:val="000000"/>
        </w:rPr>
      </w:pPr>
      <w:r w:rsidRPr="00FE3E8D">
        <w:rPr>
          <w:color w:val="000000"/>
        </w:rPr>
        <w:t xml:space="preserve">Рис. 2. Динамика мировых цен на серебро ( </w:t>
      </w:r>
      <w:r w:rsidRPr="00FE3E8D">
        <w:rPr>
          <w:color w:val="000000"/>
          <w:lang w:val="en-US"/>
        </w:rPr>
        <w:t>US</w:t>
      </w:r>
      <w:r w:rsidRPr="00FE3E8D">
        <w:rPr>
          <w:color w:val="000000"/>
        </w:rPr>
        <w:t xml:space="preserve">$ за тройскую унцию ). Источник – </w:t>
      </w:r>
      <w:r w:rsidRPr="00FE3E8D">
        <w:rPr>
          <w:color w:val="000000"/>
          <w:lang w:val="en-US"/>
        </w:rPr>
        <w:t>Reuters</w:t>
      </w:r>
      <w:r w:rsidRPr="00FE3E8D">
        <w:rPr>
          <w:color w:val="000000"/>
        </w:rPr>
        <w:t>.</w:t>
      </w:r>
    </w:p>
    <w:p w:rsidR="00161974" w:rsidRPr="00FE3E8D" w:rsidRDefault="006E75DC" w:rsidP="00212382">
      <w:pPr>
        <w:spacing w:before="100" w:beforeAutospacing="1" w:after="100" w:afterAutospacing="1"/>
        <w:ind w:firstLine="540"/>
        <w:jc w:val="both"/>
        <w:rPr>
          <w:color w:val="000000"/>
        </w:rPr>
      </w:pPr>
      <w:r>
        <w:rPr>
          <w:color w:val="000000"/>
        </w:rPr>
        <w:br w:type="page"/>
      </w:r>
      <w:r w:rsidR="00161974" w:rsidRPr="00FE3E8D">
        <w:rPr>
          <w:color w:val="000000"/>
        </w:rPr>
        <w:t>ПЛАТИНА и ПАЛЛАДИЙ</w:t>
      </w:r>
    </w:p>
    <w:p w:rsidR="00161974" w:rsidRPr="00FE3E8D" w:rsidRDefault="00161974" w:rsidP="00212382">
      <w:pPr>
        <w:spacing w:before="100" w:beforeAutospacing="1" w:after="100" w:afterAutospacing="1"/>
        <w:ind w:firstLine="540"/>
        <w:jc w:val="both"/>
        <w:rPr>
          <w:color w:val="000000"/>
        </w:rPr>
      </w:pPr>
      <w:r w:rsidRPr="00FE3E8D">
        <w:rPr>
          <w:color w:val="000000"/>
        </w:rPr>
        <w:t xml:space="preserve">Россия обладает мощной платиновой промышленностью и развитой сырьевой базой. По запасам и производству платины и палладия, основную часть которого добывают попутно с платиной, на долю России вместе с ЮАР приходится около 90% мирового производства этих металлов. </w:t>
      </w:r>
    </w:p>
    <w:p w:rsidR="00161974" w:rsidRPr="00FE3E8D" w:rsidRDefault="00161974" w:rsidP="00212382">
      <w:pPr>
        <w:spacing w:before="100" w:beforeAutospacing="1" w:after="100" w:afterAutospacing="1"/>
        <w:ind w:firstLine="540"/>
        <w:jc w:val="both"/>
        <w:rPr>
          <w:color w:val="000000"/>
        </w:rPr>
      </w:pPr>
      <w:r w:rsidRPr="00FE3E8D">
        <w:rPr>
          <w:color w:val="000000"/>
        </w:rPr>
        <w:t xml:space="preserve">Однако российский рынок платаноидов значительно менее свободен, чем рынки серебра и, тем более, золота. Поэтому в России платину и палладий из природного сырья производят менее десятка предприятий. </w:t>
      </w:r>
    </w:p>
    <w:p w:rsidR="00161974" w:rsidRPr="00FE3E8D" w:rsidRDefault="00161974" w:rsidP="00212382">
      <w:pPr>
        <w:ind w:firstLine="540"/>
        <w:jc w:val="both"/>
        <w:rPr>
          <w:color w:val="000000"/>
        </w:rPr>
      </w:pPr>
      <w:r w:rsidRPr="00FE3E8D">
        <w:rPr>
          <w:color w:val="000000"/>
        </w:rPr>
        <w:t>В то же время, проекты по добыче платины во всем мире переживают бум развития, и есть основания ожидать, что этот бум затронет и нашу страну. Россия чрезвычайно богата природными источниками платины, велики перспективы обнаружения новых источников. Поэтому, наибольшая активность на этом рынке скорее всего в ближайшее время будет связана не с добычей из известных источников, а с поиском и получением в собственность совершенно новых, неизвестных пока объектов.</w:t>
      </w:r>
    </w:p>
    <w:p w:rsidR="00161974" w:rsidRPr="00FE3E8D" w:rsidRDefault="00161974" w:rsidP="00212382">
      <w:pPr>
        <w:ind w:firstLine="540"/>
        <w:jc w:val="both"/>
        <w:rPr>
          <w:color w:val="000000"/>
        </w:rPr>
      </w:pPr>
      <w:r w:rsidRPr="00FE3E8D">
        <w:rPr>
          <w:color w:val="000000"/>
        </w:rPr>
        <w:br/>
        <w:t>В перспективе ожидается рост цен на платину, однако, темпы роста уступают аналогичным параметрам цен на серебро и золото. Платина и палладий – это в первую очередь промышленные металлы и цены на них зависят от спроса в различных отраслях промышленности, например, производстве компьютерных микропроцессоров. Поэтому в отличие от золота и серебра рынки платины и палладия, представляют особый интерес в средне- и долгосрочной перспективе. При этом весьма интересны не только рынки произведенных металлов, но и рынки ценных бумаг предприятий по их добыче и производству.</w:t>
      </w:r>
    </w:p>
    <w:p w:rsidR="00161974" w:rsidRPr="00FE3E8D" w:rsidRDefault="00161974" w:rsidP="00212382">
      <w:pPr>
        <w:ind w:firstLine="540"/>
        <w:jc w:val="both"/>
        <w:rPr>
          <w:color w:val="000000"/>
        </w:rPr>
      </w:pPr>
      <w:r w:rsidRPr="00FE3E8D">
        <w:rPr>
          <w:color w:val="000000"/>
        </w:rPr>
        <w:br/>
      </w:r>
      <w:r w:rsidR="00321F70">
        <w:rPr>
          <w:color w:val="000000"/>
        </w:rPr>
        <w:pict>
          <v:shape id="_x0000_i1026" type="#_x0000_t75" style="width:451.5pt;height:213.75pt">
            <v:imagedata r:id="rId7" o:title=""/>
            <o:lock v:ext="edit" cropping="t"/>
          </v:shape>
        </w:pict>
      </w:r>
    </w:p>
    <w:p w:rsidR="00161974" w:rsidRPr="00FE3E8D" w:rsidRDefault="00161974" w:rsidP="00212382">
      <w:pPr>
        <w:spacing w:before="100" w:beforeAutospacing="1" w:after="100" w:afterAutospacing="1"/>
        <w:ind w:firstLine="540"/>
        <w:jc w:val="both"/>
        <w:rPr>
          <w:color w:val="000000"/>
        </w:rPr>
      </w:pPr>
      <w:r w:rsidRPr="00FE3E8D">
        <w:rPr>
          <w:color w:val="000000"/>
        </w:rPr>
        <w:t>Рис. 3. Динамика мировых цен на платину (</w:t>
      </w:r>
      <w:r w:rsidRPr="00FE3E8D">
        <w:rPr>
          <w:color w:val="000000"/>
          <w:lang w:val="en-US"/>
        </w:rPr>
        <w:t>US</w:t>
      </w:r>
      <w:r w:rsidRPr="00FE3E8D">
        <w:rPr>
          <w:color w:val="000000"/>
        </w:rPr>
        <w:t xml:space="preserve">$ за тройскую унцию ). Источник – </w:t>
      </w:r>
      <w:r w:rsidRPr="00FE3E8D">
        <w:rPr>
          <w:color w:val="000000"/>
          <w:lang w:val="en-US"/>
        </w:rPr>
        <w:t>Reuters.</w:t>
      </w:r>
    </w:p>
    <w:p w:rsidR="00161974" w:rsidRPr="00FE3E8D" w:rsidRDefault="00161974" w:rsidP="00212382">
      <w:pPr>
        <w:ind w:firstLine="540"/>
        <w:jc w:val="both"/>
        <w:rPr>
          <w:color w:val="000000"/>
        </w:rPr>
      </w:pPr>
    </w:p>
    <w:p w:rsidR="00161974" w:rsidRPr="00FE3E8D" w:rsidRDefault="00321F70" w:rsidP="00212382">
      <w:pPr>
        <w:spacing w:before="100" w:beforeAutospacing="1" w:after="100" w:afterAutospacing="1"/>
        <w:ind w:firstLine="540"/>
        <w:jc w:val="both"/>
        <w:rPr>
          <w:color w:val="000000"/>
        </w:rPr>
      </w:pPr>
      <w:r>
        <w:rPr>
          <w:color w:val="000000"/>
        </w:rPr>
        <w:pict>
          <v:shape id="_x0000_i1027" type="#_x0000_t75" style="width:451.5pt;height:213.75pt">
            <v:imagedata r:id="rId8" o:title=""/>
            <o:lock v:ext="edit" cropping="t"/>
          </v:shape>
        </w:pict>
      </w:r>
    </w:p>
    <w:p w:rsidR="00161974" w:rsidRPr="00FE3E8D" w:rsidRDefault="00161974" w:rsidP="00212382">
      <w:pPr>
        <w:ind w:firstLine="540"/>
        <w:jc w:val="both"/>
        <w:rPr>
          <w:color w:val="000000"/>
        </w:rPr>
      </w:pPr>
      <w:r w:rsidRPr="00FE3E8D">
        <w:rPr>
          <w:color w:val="000000"/>
        </w:rPr>
        <w:t>Рис. 4. Динамика мировых цен на палладий (</w:t>
      </w:r>
      <w:r w:rsidRPr="00FE3E8D">
        <w:rPr>
          <w:color w:val="000000"/>
          <w:lang w:val="en-US"/>
        </w:rPr>
        <w:t>US</w:t>
      </w:r>
      <w:r w:rsidRPr="00FE3E8D">
        <w:rPr>
          <w:color w:val="000000"/>
        </w:rPr>
        <w:t xml:space="preserve">$ за тройскую унцию ). Источник – </w:t>
      </w:r>
      <w:r w:rsidRPr="00FE3E8D">
        <w:rPr>
          <w:color w:val="000000"/>
          <w:lang w:val="en-US"/>
        </w:rPr>
        <w:t>Reuters</w:t>
      </w:r>
      <w:r w:rsidRPr="00FE3E8D">
        <w:rPr>
          <w:color w:val="000000"/>
        </w:rPr>
        <w:t>.</w:t>
      </w:r>
    </w:p>
    <w:p w:rsidR="00D024A7" w:rsidRPr="00FE3E8D" w:rsidRDefault="00CD0B29" w:rsidP="00212382">
      <w:pPr>
        <w:ind w:right="3954" w:firstLine="540"/>
        <w:jc w:val="both"/>
        <w:rPr>
          <w:color w:val="000000"/>
        </w:rPr>
      </w:pPr>
      <w:r w:rsidRPr="00FE3E8D">
        <w:rPr>
          <w:color w:val="000000"/>
        </w:rPr>
        <w:t xml:space="preserve">                  </w:t>
      </w:r>
    </w:p>
    <w:p w:rsidR="00D024A7" w:rsidRDefault="006E75DC" w:rsidP="00212382">
      <w:pPr>
        <w:ind w:firstLine="540"/>
        <w:jc w:val="both"/>
        <w:rPr>
          <w:color w:val="000000"/>
        </w:rPr>
      </w:pPr>
      <w:r>
        <w:rPr>
          <w:b/>
          <w:bCs/>
          <w:color w:val="000000"/>
        </w:rPr>
        <w:br w:type="page"/>
      </w:r>
      <w:r w:rsidR="00D024A7" w:rsidRPr="00FE3E8D">
        <w:rPr>
          <w:b/>
          <w:bCs/>
          <w:color w:val="000000"/>
        </w:rPr>
        <w:t>Ставки по вкладам в драгоценных металлах</w:t>
      </w:r>
      <w:r w:rsidR="00D024A7" w:rsidRPr="00FE3E8D">
        <w:rPr>
          <w:color w:val="000000"/>
        </w:rPr>
        <w:t xml:space="preserve"> </w:t>
      </w:r>
    </w:p>
    <w:p w:rsidR="00FE3E8D" w:rsidRPr="00FE3E8D" w:rsidRDefault="00FE3E8D" w:rsidP="00212382">
      <w:pPr>
        <w:ind w:firstLine="540"/>
        <w:jc w:val="both"/>
        <w:rPr>
          <w:color w:val="000000"/>
        </w:rPr>
      </w:pPr>
    </w:p>
    <w:tbl>
      <w:tblPr>
        <w:tblW w:w="0" w:type="auto"/>
        <w:tblCellSpacing w:w="7" w:type="dxa"/>
        <w:tblInd w:w="-74" w:type="dxa"/>
        <w:tblCellMar>
          <w:top w:w="60" w:type="dxa"/>
          <w:left w:w="60" w:type="dxa"/>
          <w:bottom w:w="60" w:type="dxa"/>
          <w:right w:w="60" w:type="dxa"/>
        </w:tblCellMar>
        <w:tblLook w:val="0000" w:firstRow="0" w:lastRow="0" w:firstColumn="0" w:lastColumn="0" w:noHBand="0" w:noVBand="0"/>
      </w:tblPr>
      <w:tblGrid>
        <w:gridCol w:w="2874"/>
        <w:gridCol w:w="1414"/>
        <w:gridCol w:w="1568"/>
        <w:gridCol w:w="1630"/>
        <w:gridCol w:w="1775"/>
      </w:tblGrid>
      <w:tr w:rsidR="00D024A7" w:rsidRPr="00FE3E8D">
        <w:trPr>
          <w:tblCellSpacing w:w="7" w:type="dxa"/>
        </w:trPr>
        <w:tc>
          <w:tcPr>
            <w:tcW w:w="0" w:type="auto"/>
            <w:vMerge w:val="restart"/>
            <w:shd w:val="clear" w:color="auto" w:fill="D3D3D3"/>
            <w:vAlign w:val="center"/>
          </w:tcPr>
          <w:p w:rsidR="00D024A7" w:rsidRPr="00FE3E8D" w:rsidRDefault="00D024A7" w:rsidP="00212382">
            <w:pPr>
              <w:pStyle w:val="tf"/>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Сроки привлечения</w:t>
            </w:r>
          </w:p>
        </w:tc>
        <w:tc>
          <w:tcPr>
            <w:tcW w:w="0" w:type="auto"/>
            <w:gridSpan w:val="4"/>
            <w:shd w:val="clear" w:color="auto" w:fill="D3D3D3"/>
            <w:vAlign w:val="center"/>
          </w:tcPr>
          <w:p w:rsidR="00D024A7" w:rsidRPr="00FE3E8D" w:rsidRDefault="00D024A7" w:rsidP="00212382">
            <w:pPr>
              <w:pStyle w:val="tf"/>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Процентные ставки (процентов годовых)</w:t>
            </w:r>
          </w:p>
        </w:tc>
      </w:tr>
      <w:tr w:rsidR="00D024A7" w:rsidRPr="00FE3E8D">
        <w:trPr>
          <w:tblCellSpacing w:w="7" w:type="dxa"/>
        </w:trPr>
        <w:tc>
          <w:tcPr>
            <w:tcW w:w="0" w:type="auto"/>
            <w:vMerge/>
            <w:shd w:val="clear" w:color="auto" w:fill="D3D3D3"/>
            <w:vAlign w:val="center"/>
          </w:tcPr>
          <w:p w:rsidR="00D024A7" w:rsidRPr="00FE3E8D" w:rsidRDefault="00D024A7" w:rsidP="00212382">
            <w:pPr>
              <w:ind w:firstLine="540"/>
              <w:jc w:val="both"/>
              <w:rPr>
                <w:color w:val="000000"/>
              </w:rPr>
            </w:pPr>
          </w:p>
        </w:tc>
        <w:tc>
          <w:tcPr>
            <w:tcW w:w="0" w:type="auto"/>
            <w:shd w:val="clear" w:color="auto" w:fill="D3D3D3"/>
            <w:vAlign w:val="center"/>
          </w:tcPr>
          <w:p w:rsidR="00D024A7" w:rsidRPr="00FE3E8D" w:rsidRDefault="00D024A7" w:rsidP="00212382">
            <w:pPr>
              <w:pStyle w:val="tf"/>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Золото</w:t>
            </w:r>
          </w:p>
        </w:tc>
        <w:tc>
          <w:tcPr>
            <w:tcW w:w="0" w:type="auto"/>
            <w:shd w:val="clear" w:color="auto" w:fill="D3D3D3"/>
            <w:vAlign w:val="center"/>
          </w:tcPr>
          <w:p w:rsidR="00D024A7" w:rsidRPr="00FE3E8D" w:rsidRDefault="00D024A7" w:rsidP="00212382">
            <w:pPr>
              <w:pStyle w:val="tf"/>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Серебро</w:t>
            </w:r>
          </w:p>
        </w:tc>
        <w:tc>
          <w:tcPr>
            <w:tcW w:w="0" w:type="auto"/>
            <w:shd w:val="clear" w:color="auto" w:fill="D3D3D3"/>
            <w:vAlign w:val="center"/>
          </w:tcPr>
          <w:p w:rsidR="00D024A7" w:rsidRPr="00FE3E8D" w:rsidRDefault="00D024A7" w:rsidP="00212382">
            <w:pPr>
              <w:pStyle w:val="tf"/>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Платина</w:t>
            </w:r>
          </w:p>
        </w:tc>
        <w:tc>
          <w:tcPr>
            <w:tcW w:w="0" w:type="auto"/>
            <w:shd w:val="clear" w:color="auto" w:fill="D3D3D3"/>
            <w:vAlign w:val="center"/>
          </w:tcPr>
          <w:p w:rsidR="00D024A7" w:rsidRPr="00FE3E8D" w:rsidRDefault="00D024A7" w:rsidP="00212382">
            <w:pPr>
              <w:pStyle w:val="tf"/>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Палладий</w:t>
            </w:r>
          </w:p>
        </w:tc>
      </w:tr>
      <w:tr w:rsidR="00D024A7" w:rsidRPr="00FE3E8D">
        <w:trPr>
          <w:tblCellSpacing w:w="7" w:type="dxa"/>
        </w:trPr>
        <w:tc>
          <w:tcPr>
            <w:tcW w:w="0" w:type="auto"/>
            <w:gridSpan w:val="5"/>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Юридические лица (небанковские учреждения)</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15дн-21дн</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2,25%</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1,75%</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 месяц</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2,25%</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2,00%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 месяца</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2,75%</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2,25%</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 месяца</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2,50%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6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3,00%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9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4,00%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12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6,00%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4,50%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18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6,00%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6,50%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5,00%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24 месяца</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6,50%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6,00%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7,00%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5,50%</w:t>
            </w:r>
          </w:p>
        </w:tc>
      </w:tr>
      <w:tr w:rsidR="00D024A7" w:rsidRPr="00FE3E8D">
        <w:trPr>
          <w:tblCellSpacing w:w="7" w:type="dxa"/>
        </w:trPr>
        <w:tc>
          <w:tcPr>
            <w:tcW w:w="0" w:type="auto"/>
            <w:gridSpan w:val="5"/>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Физические лица</w:t>
            </w:r>
            <w:r w:rsidRPr="00FE3E8D">
              <w:rPr>
                <w:rFonts w:ascii="Times New Roman" w:hAnsi="Times New Roman" w:cs="Times New Roman"/>
                <w:b/>
                <w:bCs/>
                <w:color w:val="000000"/>
                <w:sz w:val="24"/>
                <w:szCs w:val="24"/>
              </w:rPr>
              <w:br/>
            </w:r>
            <w:r w:rsidRPr="00FE3E8D">
              <w:rPr>
                <w:rFonts w:ascii="Times New Roman" w:hAnsi="Times New Roman" w:cs="Times New Roman"/>
                <w:color w:val="000000"/>
                <w:sz w:val="24"/>
                <w:szCs w:val="24"/>
              </w:rPr>
              <w:t>(действуют с 22.02.2007)</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15-21 дн.</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0,01%</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0,01%</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0,01%</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0,01%</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 месяц</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0,01%</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0,01%</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0,10%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 месяца</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0,10%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0,40%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0,25%</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 месяца</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0,30%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0,75%</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0,50%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 месяца</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0,75%</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0,75%</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1,00%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6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1,50%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7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1,75%</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8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2,00%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9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2,25%</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10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3,75%</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2,50%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11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3,25%</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6,00%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2,75%</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12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6,50%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3,00%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18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7,00%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3,25%</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24 месяца</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4,25%</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7,50%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3,50%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30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4,25%</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7,50%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3,50%</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36 месяцев</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4,25%</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7,50%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3,50%</w:t>
            </w:r>
          </w:p>
        </w:tc>
      </w:tr>
    </w:tbl>
    <w:p w:rsidR="00FE3E8D" w:rsidRDefault="00FE3E8D" w:rsidP="00212382">
      <w:pPr>
        <w:pStyle w:val="a4"/>
        <w:ind w:firstLine="540"/>
        <w:jc w:val="both"/>
        <w:rPr>
          <w:rFonts w:ascii="Times New Roman" w:hAnsi="Times New Roman" w:cs="Times New Roman"/>
          <w:color w:val="000000"/>
          <w:sz w:val="24"/>
          <w:szCs w:val="24"/>
        </w:rPr>
      </w:pPr>
    </w:p>
    <w:p w:rsidR="00FE3E8D" w:rsidRDefault="00FE3E8D" w:rsidP="00212382">
      <w:pPr>
        <w:pStyle w:val="a4"/>
        <w:ind w:firstLine="540"/>
        <w:jc w:val="both"/>
        <w:rPr>
          <w:rFonts w:ascii="Times New Roman" w:hAnsi="Times New Roman" w:cs="Times New Roman"/>
          <w:color w:val="000000"/>
          <w:sz w:val="24"/>
          <w:szCs w:val="24"/>
        </w:rPr>
      </w:pPr>
    </w:p>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Минимальная сумма вклада, ( в граммах*)</w:t>
      </w:r>
    </w:p>
    <w:tbl>
      <w:tblPr>
        <w:tblW w:w="0" w:type="auto"/>
        <w:tblCellSpacing w:w="7" w:type="dxa"/>
        <w:tblInd w:w="-74" w:type="dxa"/>
        <w:tblCellMar>
          <w:top w:w="60" w:type="dxa"/>
          <w:left w:w="60" w:type="dxa"/>
          <w:bottom w:w="60" w:type="dxa"/>
          <w:right w:w="60" w:type="dxa"/>
        </w:tblCellMar>
        <w:tblLook w:val="0000" w:firstRow="0" w:lastRow="0" w:firstColumn="0" w:lastColumn="0" w:noHBand="0" w:noVBand="0"/>
      </w:tblPr>
      <w:tblGrid>
        <w:gridCol w:w="1421"/>
        <w:gridCol w:w="1568"/>
        <w:gridCol w:w="1630"/>
        <w:gridCol w:w="1775"/>
      </w:tblGrid>
      <w:tr w:rsidR="00D024A7" w:rsidRPr="00FE3E8D">
        <w:trPr>
          <w:tblCellSpacing w:w="7" w:type="dxa"/>
        </w:trPr>
        <w:tc>
          <w:tcPr>
            <w:tcW w:w="0" w:type="auto"/>
            <w:shd w:val="clear" w:color="auto" w:fill="D3D3D3"/>
            <w:vAlign w:val="center"/>
          </w:tcPr>
          <w:p w:rsidR="00D024A7" w:rsidRPr="00FE3E8D" w:rsidRDefault="00D024A7" w:rsidP="00212382">
            <w:pPr>
              <w:pStyle w:val="tf"/>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Золото</w:t>
            </w:r>
          </w:p>
        </w:tc>
        <w:tc>
          <w:tcPr>
            <w:tcW w:w="0" w:type="auto"/>
            <w:shd w:val="clear" w:color="auto" w:fill="D3D3D3"/>
            <w:vAlign w:val="center"/>
          </w:tcPr>
          <w:p w:rsidR="00D024A7" w:rsidRPr="00FE3E8D" w:rsidRDefault="00D024A7" w:rsidP="00212382">
            <w:pPr>
              <w:pStyle w:val="tf"/>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Серебро</w:t>
            </w:r>
          </w:p>
        </w:tc>
        <w:tc>
          <w:tcPr>
            <w:tcW w:w="0" w:type="auto"/>
            <w:shd w:val="clear" w:color="auto" w:fill="D3D3D3"/>
            <w:vAlign w:val="center"/>
          </w:tcPr>
          <w:p w:rsidR="00D024A7" w:rsidRPr="00FE3E8D" w:rsidRDefault="00D024A7" w:rsidP="00212382">
            <w:pPr>
              <w:pStyle w:val="tf"/>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Платина</w:t>
            </w:r>
          </w:p>
        </w:tc>
        <w:tc>
          <w:tcPr>
            <w:tcW w:w="0" w:type="auto"/>
            <w:shd w:val="clear" w:color="auto" w:fill="D3D3D3"/>
            <w:vAlign w:val="center"/>
          </w:tcPr>
          <w:p w:rsidR="00D024A7" w:rsidRPr="00FE3E8D" w:rsidRDefault="00D024A7" w:rsidP="00212382">
            <w:pPr>
              <w:pStyle w:val="tf"/>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Палладий</w:t>
            </w:r>
          </w:p>
        </w:tc>
      </w:tr>
      <w:tr w:rsidR="00D024A7" w:rsidRPr="00FE3E8D">
        <w:trPr>
          <w:tblCellSpacing w:w="7" w:type="dxa"/>
        </w:trPr>
        <w:tc>
          <w:tcPr>
            <w:tcW w:w="0" w:type="auto"/>
            <w:gridSpan w:val="4"/>
            <w:shd w:val="clear" w:color="auto" w:fill="EFEFEF"/>
            <w:vAlign w:val="center"/>
          </w:tcPr>
          <w:p w:rsidR="00D024A7" w:rsidRPr="00FE3E8D" w:rsidRDefault="00D024A7" w:rsidP="00212382">
            <w:pPr>
              <w:ind w:firstLine="540"/>
              <w:jc w:val="both"/>
              <w:rPr>
                <w:color w:val="000000"/>
              </w:rPr>
            </w:pPr>
            <w:r w:rsidRPr="00FE3E8D">
              <w:rPr>
                <w:rStyle w:val="a5"/>
                <w:color w:val="000000"/>
              </w:rPr>
              <w:t>Юридические лица (небанковские учреждения)</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10 000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500 000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10 000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10 000</w:t>
            </w:r>
          </w:p>
        </w:tc>
      </w:tr>
      <w:tr w:rsidR="00D024A7" w:rsidRPr="00FE3E8D">
        <w:trPr>
          <w:tblCellSpacing w:w="7" w:type="dxa"/>
        </w:trPr>
        <w:tc>
          <w:tcPr>
            <w:tcW w:w="0" w:type="auto"/>
            <w:gridSpan w:val="4"/>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Style w:val="a5"/>
                <w:rFonts w:ascii="Times New Roman" w:hAnsi="Times New Roman" w:cs="Times New Roman"/>
                <w:color w:val="000000"/>
                <w:sz w:val="24"/>
                <w:szCs w:val="24"/>
              </w:rPr>
              <w:t>Физические лица</w:t>
            </w:r>
          </w:p>
        </w:tc>
      </w:tr>
      <w:tr w:rsidR="00D024A7" w:rsidRPr="00FE3E8D">
        <w:trPr>
          <w:tblCellSpacing w:w="7" w:type="dxa"/>
        </w:trPr>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1 000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50 000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500</w:t>
            </w:r>
          </w:p>
        </w:tc>
        <w:tc>
          <w:tcPr>
            <w:tcW w:w="0" w:type="auto"/>
            <w:shd w:val="clear" w:color="auto" w:fill="EFEFEF"/>
            <w:vAlign w:val="center"/>
          </w:tcPr>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2 000</w:t>
            </w:r>
          </w:p>
        </w:tc>
      </w:tr>
    </w:tbl>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_____________________</w:t>
      </w:r>
    </w:p>
    <w:p w:rsidR="00D024A7" w:rsidRPr="00FE3E8D" w:rsidRDefault="00D024A7" w:rsidP="00212382">
      <w:pPr>
        <w:pStyle w:val="a4"/>
        <w:ind w:firstLine="540"/>
        <w:jc w:val="both"/>
        <w:rPr>
          <w:rFonts w:ascii="Times New Roman" w:hAnsi="Times New Roman" w:cs="Times New Roman"/>
          <w:color w:val="000000"/>
          <w:sz w:val="24"/>
          <w:szCs w:val="24"/>
        </w:rPr>
      </w:pPr>
      <w:r w:rsidRPr="00FE3E8D">
        <w:rPr>
          <w:rFonts w:ascii="Times New Roman" w:hAnsi="Times New Roman" w:cs="Times New Roman"/>
          <w:color w:val="000000"/>
          <w:sz w:val="24"/>
          <w:szCs w:val="24"/>
        </w:rPr>
        <w:t>* для золота - химически чистой массы; для серебра, платины, палладия – лигатурной массы.</w:t>
      </w:r>
    </w:p>
    <w:tbl>
      <w:tblPr>
        <w:tblW w:w="5185" w:type="pct"/>
        <w:tblCellSpacing w:w="0" w:type="dxa"/>
        <w:tblInd w:w="-345" w:type="dxa"/>
        <w:tblCellMar>
          <w:left w:w="0" w:type="dxa"/>
          <w:right w:w="0" w:type="dxa"/>
        </w:tblCellMar>
        <w:tblLook w:val="0000" w:firstRow="0" w:lastRow="0" w:firstColumn="0" w:lastColumn="0" w:noHBand="0" w:noVBand="0"/>
      </w:tblPr>
      <w:tblGrid>
        <w:gridCol w:w="4601"/>
        <w:gridCol w:w="497"/>
        <w:gridCol w:w="4602"/>
      </w:tblGrid>
      <w:tr w:rsidR="00D024A7" w:rsidRPr="00FE3E8D">
        <w:trPr>
          <w:tblCellSpacing w:w="0" w:type="dxa"/>
        </w:trPr>
        <w:tc>
          <w:tcPr>
            <w:tcW w:w="2372" w:type="pct"/>
          </w:tcPr>
          <w:tbl>
            <w:tblPr>
              <w:tblW w:w="5000" w:type="pct"/>
              <w:tblCellSpacing w:w="0" w:type="dxa"/>
              <w:tblCellMar>
                <w:left w:w="0" w:type="dxa"/>
                <w:right w:w="0" w:type="dxa"/>
              </w:tblCellMar>
              <w:tblLook w:val="0000" w:firstRow="0" w:lastRow="0" w:firstColumn="0" w:lastColumn="0" w:noHBand="0" w:noVBand="0"/>
            </w:tblPr>
            <w:tblGrid>
              <w:gridCol w:w="4601"/>
            </w:tblGrid>
            <w:tr w:rsidR="00D024A7" w:rsidRPr="00FE3E8D">
              <w:trPr>
                <w:tblCellSpacing w:w="0" w:type="dxa"/>
              </w:trPr>
              <w:tc>
                <w:tcPr>
                  <w:tcW w:w="0" w:type="auto"/>
                  <w:tcBorders>
                    <w:top w:val="nil"/>
                    <w:left w:val="nil"/>
                    <w:bottom w:val="nil"/>
                    <w:right w:val="nil"/>
                  </w:tcBorders>
                  <w:shd w:val="clear" w:color="auto" w:fill="91B83E"/>
                  <w:tcMar>
                    <w:top w:w="45" w:type="dxa"/>
                    <w:left w:w="345" w:type="dxa"/>
                    <w:bottom w:w="45" w:type="dxa"/>
                    <w:right w:w="0" w:type="dxa"/>
                  </w:tcMar>
                  <w:vAlign w:val="center"/>
                </w:tcPr>
                <w:p w:rsidR="00D024A7" w:rsidRPr="00FE3E8D" w:rsidRDefault="00D024A7" w:rsidP="00212382">
                  <w:pPr>
                    <w:ind w:firstLine="540"/>
                    <w:jc w:val="both"/>
                    <w:rPr>
                      <w:b/>
                      <w:bCs/>
                      <w:color w:val="000000"/>
                    </w:rPr>
                  </w:pPr>
                  <w:r w:rsidRPr="00FE3E8D">
                    <w:rPr>
                      <w:b/>
                      <w:bCs/>
                      <w:color w:val="000000"/>
                    </w:rPr>
                    <w:t>График цены золота</w:t>
                  </w:r>
                </w:p>
              </w:tc>
            </w:tr>
            <w:tr w:rsidR="00D024A7" w:rsidRPr="00FE3E8D">
              <w:trPr>
                <w:tblCellSpacing w:w="0" w:type="dxa"/>
              </w:trPr>
              <w:tc>
                <w:tcPr>
                  <w:tcW w:w="0" w:type="auto"/>
                  <w:tcBorders>
                    <w:top w:val="nil"/>
                    <w:left w:val="nil"/>
                    <w:bottom w:val="nil"/>
                    <w:right w:val="nil"/>
                  </w:tcBorders>
                  <w:vAlign w:val="center"/>
                </w:tcPr>
                <w:tbl>
                  <w:tblPr>
                    <w:tblW w:w="0" w:type="auto"/>
                    <w:tblCellSpacing w:w="0" w:type="dxa"/>
                    <w:tblCellMar>
                      <w:top w:w="225" w:type="dxa"/>
                      <w:left w:w="225" w:type="dxa"/>
                      <w:bottom w:w="225" w:type="dxa"/>
                      <w:right w:w="225" w:type="dxa"/>
                    </w:tblCellMar>
                    <w:tblLook w:val="0000" w:firstRow="0" w:lastRow="0" w:firstColumn="0" w:lastColumn="0" w:noHBand="0" w:noVBand="0"/>
                  </w:tblPr>
                  <w:tblGrid>
                    <w:gridCol w:w="3390"/>
                  </w:tblGrid>
                  <w:tr w:rsidR="00D024A7" w:rsidRPr="00FE3E8D">
                    <w:trPr>
                      <w:tblCellSpacing w:w="0" w:type="dxa"/>
                    </w:trPr>
                    <w:tc>
                      <w:tcPr>
                        <w:tcW w:w="0" w:type="auto"/>
                        <w:tcBorders>
                          <w:top w:val="nil"/>
                          <w:left w:val="nil"/>
                          <w:bottom w:val="nil"/>
                          <w:right w:val="nil"/>
                        </w:tcBorders>
                      </w:tcPr>
                      <w:p w:rsidR="00D024A7" w:rsidRPr="00FE3E8D" w:rsidRDefault="00321F70" w:rsidP="00212382">
                        <w:pPr>
                          <w:ind w:firstLine="540"/>
                          <w:jc w:val="both"/>
                          <w:rPr>
                            <w:color w:val="000000"/>
                          </w:rPr>
                        </w:pPr>
                        <w:r>
                          <w:rPr>
                            <w:color w:val="000000"/>
                          </w:rPr>
                          <w:pict>
                            <v:shape id="_x0000_i1028" type="#_x0000_t75" alt="График цены золота" style="width:147pt;height:97.5pt">
                              <v:imagedata r:id="rId9" o:title=""/>
                            </v:shape>
                          </w:pict>
                        </w:r>
                      </w:p>
                    </w:tc>
                  </w:tr>
                </w:tbl>
                <w:p w:rsidR="00D024A7" w:rsidRPr="00FE3E8D" w:rsidRDefault="00D024A7" w:rsidP="00212382">
                  <w:pPr>
                    <w:ind w:firstLine="540"/>
                    <w:jc w:val="both"/>
                    <w:rPr>
                      <w:color w:val="000000"/>
                    </w:rPr>
                  </w:pPr>
                </w:p>
              </w:tc>
            </w:tr>
          </w:tbl>
          <w:p w:rsidR="00D024A7" w:rsidRPr="00FE3E8D" w:rsidRDefault="00D024A7" w:rsidP="00212382">
            <w:pPr>
              <w:ind w:firstLine="540"/>
              <w:jc w:val="both"/>
              <w:rPr>
                <w:color w:val="000000"/>
              </w:rPr>
            </w:pPr>
          </w:p>
        </w:tc>
        <w:tc>
          <w:tcPr>
            <w:tcW w:w="0" w:type="auto"/>
            <w:vAlign w:val="center"/>
          </w:tcPr>
          <w:p w:rsidR="00D024A7" w:rsidRPr="00FE3E8D" w:rsidRDefault="00321F70" w:rsidP="00212382">
            <w:pPr>
              <w:ind w:firstLine="540"/>
              <w:jc w:val="both"/>
              <w:rPr>
                <w:color w:val="000000"/>
              </w:rPr>
            </w:pPr>
            <w:r>
              <w:rPr>
                <w:color w:val="000000"/>
              </w:rPr>
              <w:pict>
                <v:shape id="_x0000_i1029" type="#_x0000_t75" style="width:7.5pt;height:.75pt">
                  <v:imagedata r:id="rId10" o:title=""/>
                </v:shape>
              </w:pict>
            </w:r>
          </w:p>
        </w:tc>
        <w:tc>
          <w:tcPr>
            <w:tcW w:w="2372" w:type="pct"/>
          </w:tcPr>
          <w:tbl>
            <w:tblPr>
              <w:tblW w:w="5000" w:type="pct"/>
              <w:tblCellSpacing w:w="0" w:type="dxa"/>
              <w:tblCellMar>
                <w:left w:w="0" w:type="dxa"/>
                <w:right w:w="0" w:type="dxa"/>
              </w:tblCellMar>
              <w:tblLook w:val="0000" w:firstRow="0" w:lastRow="0" w:firstColumn="0" w:lastColumn="0" w:noHBand="0" w:noVBand="0"/>
            </w:tblPr>
            <w:tblGrid>
              <w:gridCol w:w="4602"/>
            </w:tblGrid>
            <w:tr w:rsidR="00D024A7" w:rsidRPr="00FE3E8D">
              <w:trPr>
                <w:tblCellSpacing w:w="0" w:type="dxa"/>
              </w:trPr>
              <w:tc>
                <w:tcPr>
                  <w:tcW w:w="0" w:type="auto"/>
                  <w:tcBorders>
                    <w:top w:val="nil"/>
                    <w:left w:val="nil"/>
                    <w:bottom w:val="nil"/>
                    <w:right w:val="nil"/>
                  </w:tcBorders>
                  <w:shd w:val="clear" w:color="auto" w:fill="91B83E"/>
                  <w:tcMar>
                    <w:top w:w="45" w:type="dxa"/>
                    <w:left w:w="345" w:type="dxa"/>
                    <w:bottom w:w="45" w:type="dxa"/>
                    <w:right w:w="0" w:type="dxa"/>
                  </w:tcMar>
                  <w:vAlign w:val="center"/>
                </w:tcPr>
                <w:p w:rsidR="00D024A7" w:rsidRPr="00FE3E8D" w:rsidRDefault="00D024A7" w:rsidP="00212382">
                  <w:pPr>
                    <w:ind w:firstLine="540"/>
                    <w:jc w:val="both"/>
                    <w:rPr>
                      <w:b/>
                      <w:bCs/>
                      <w:color w:val="000000"/>
                    </w:rPr>
                  </w:pPr>
                  <w:r w:rsidRPr="00FE3E8D">
                    <w:rPr>
                      <w:b/>
                      <w:bCs/>
                      <w:color w:val="000000"/>
                    </w:rPr>
                    <w:t>График цены серебра</w:t>
                  </w:r>
                </w:p>
              </w:tc>
            </w:tr>
            <w:tr w:rsidR="00D024A7" w:rsidRPr="00FE3E8D">
              <w:trPr>
                <w:tblCellSpacing w:w="0" w:type="dxa"/>
              </w:trPr>
              <w:tc>
                <w:tcPr>
                  <w:tcW w:w="0" w:type="auto"/>
                  <w:tcBorders>
                    <w:top w:val="nil"/>
                    <w:left w:val="nil"/>
                    <w:bottom w:val="nil"/>
                    <w:right w:val="nil"/>
                  </w:tcBorders>
                  <w:vAlign w:val="center"/>
                </w:tcPr>
                <w:tbl>
                  <w:tblPr>
                    <w:tblW w:w="0" w:type="auto"/>
                    <w:tblCellSpacing w:w="0" w:type="dxa"/>
                    <w:tblCellMar>
                      <w:top w:w="225" w:type="dxa"/>
                      <w:left w:w="225" w:type="dxa"/>
                      <w:bottom w:w="225" w:type="dxa"/>
                      <w:right w:w="225" w:type="dxa"/>
                    </w:tblCellMar>
                    <w:tblLook w:val="0000" w:firstRow="0" w:lastRow="0" w:firstColumn="0" w:lastColumn="0" w:noHBand="0" w:noVBand="0"/>
                  </w:tblPr>
                  <w:tblGrid>
                    <w:gridCol w:w="3390"/>
                  </w:tblGrid>
                  <w:tr w:rsidR="00D024A7" w:rsidRPr="00FE3E8D">
                    <w:trPr>
                      <w:tblCellSpacing w:w="0" w:type="dxa"/>
                    </w:trPr>
                    <w:tc>
                      <w:tcPr>
                        <w:tcW w:w="0" w:type="auto"/>
                        <w:tcBorders>
                          <w:top w:val="nil"/>
                          <w:left w:val="nil"/>
                          <w:bottom w:val="nil"/>
                          <w:right w:val="nil"/>
                        </w:tcBorders>
                      </w:tcPr>
                      <w:p w:rsidR="00D024A7" w:rsidRPr="00FE3E8D" w:rsidRDefault="00321F70" w:rsidP="00212382">
                        <w:pPr>
                          <w:ind w:firstLine="540"/>
                          <w:jc w:val="both"/>
                          <w:rPr>
                            <w:color w:val="000000"/>
                          </w:rPr>
                        </w:pPr>
                        <w:r>
                          <w:rPr>
                            <w:color w:val="000000"/>
                          </w:rPr>
                          <w:pict>
                            <v:shape id="_x0000_i1030" type="#_x0000_t75" alt="График цены серебра" style="width:147pt;height:97.5pt">
                              <v:imagedata r:id="rId11" o:title=""/>
                            </v:shape>
                          </w:pict>
                        </w:r>
                      </w:p>
                    </w:tc>
                  </w:tr>
                </w:tbl>
                <w:p w:rsidR="00D024A7" w:rsidRPr="00FE3E8D" w:rsidRDefault="00D024A7" w:rsidP="00212382">
                  <w:pPr>
                    <w:ind w:firstLine="540"/>
                    <w:jc w:val="both"/>
                    <w:rPr>
                      <w:color w:val="000000"/>
                    </w:rPr>
                  </w:pPr>
                </w:p>
              </w:tc>
            </w:tr>
          </w:tbl>
          <w:p w:rsidR="00D024A7" w:rsidRPr="00FE3E8D" w:rsidRDefault="00D024A7" w:rsidP="00212382">
            <w:pPr>
              <w:ind w:firstLine="540"/>
              <w:jc w:val="both"/>
              <w:rPr>
                <w:color w:val="000000"/>
              </w:rPr>
            </w:pPr>
          </w:p>
        </w:tc>
      </w:tr>
      <w:tr w:rsidR="00D024A7" w:rsidRPr="00FE3E8D">
        <w:trPr>
          <w:tblCellSpacing w:w="0" w:type="dxa"/>
        </w:trPr>
        <w:tc>
          <w:tcPr>
            <w:tcW w:w="2372" w:type="pct"/>
          </w:tcPr>
          <w:tbl>
            <w:tblPr>
              <w:tblW w:w="5000" w:type="pct"/>
              <w:tblCellSpacing w:w="0" w:type="dxa"/>
              <w:tblCellMar>
                <w:left w:w="0" w:type="dxa"/>
                <w:right w:w="0" w:type="dxa"/>
              </w:tblCellMar>
              <w:tblLook w:val="0000" w:firstRow="0" w:lastRow="0" w:firstColumn="0" w:lastColumn="0" w:noHBand="0" w:noVBand="0"/>
            </w:tblPr>
            <w:tblGrid>
              <w:gridCol w:w="4601"/>
            </w:tblGrid>
            <w:tr w:rsidR="00D024A7" w:rsidRPr="00FE3E8D">
              <w:trPr>
                <w:tblCellSpacing w:w="0" w:type="dxa"/>
              </w:trPr>
              <w:tc>
                <w:tcPr>
                  <w:tcW w:w="0" w:type="auto"/>
                  <w:tcBorders>
                    <w:top w:val="nil"/>
                    <w:left w:val="nil"/>
                    <w:bottom w:val="nil"/>
                    <w:right w:val="nil"/>
                  </w:tcBorders>
                  <w:shd w:val="clear" w:color="auto" w:fill="91B83E"/>
                  <w:tcMar>
                    <w:top w:w="45" w:type="dxa"/>
                    <w:left w:w="345" w:type="dxa"/>
                    <w:bottom w:w="45" w:type="dxa"/>
                    <w:right w:w="0" w:type="dxa"/>
                  </w:tcMar>
                  <w:vAlign w:val="center"/>
                </w:tcPr>
                <w:p w:rsidR="00D024A7" w:rsidRPr="00FE3E8D" w:rsidRDefault="00D024A7" w:rsidP="00212382">
                  <w:pPr>
                    <w:ind w:firstLine="540"/>
                    <w:jc w:val="both"/>
                    <w:rPr>
                      <w:b/>
                      <w:bCs/>
                      <w:color w:val="000000"/>
                    </w:rPr>
                  </w:pPr>
                  <w:r w:rsidRPr="00FE3E8D">
                    <w:rPr>
                      <w:b/>
                      <w:bCs/>
                      <w:color w:val="000000"/>
                    </w:rPr>
                    <w:t>График цены платины</w:t>
                  </w:r>
                </w:p>
              </w:tc>
            </w:tr>
            <w:tr w:rsidR="00D024A7" w:rsidRPr="00FE3E8D">
              <w:trPr>
                <w:tblCellSpacing w:w="0" w:type="dxa"/>
              </w:trPr>
              <w:tc>
                <w:tcPr>
                  <w:tcW w:w="0" w:type="auto"/>
                  <w:tcBorders>
                    <w:top w:val="nil"/>
                    <w:left w:val="nil"/>
                    <w:bottom w:val="nil"/>
                    <w:right w:val="nil"/>
                  </w:tcBorders>
                  <w:vAlign w:val="center"/>
                </w:tcPr>
                <w:tbl>
                  <w:tblPr>
                    <w:tblW w:w="0" w:type="auto"/>
                    <w:tblCellSpacing w:w="0" w:type="dxa"/>
                    <w:tblCellMar>
                      <w:top w:w="225" w:type="dxa"/>
                      <w:left w:w="225" w:type="dxa"/>
                      <w:bottom w:w="225" w:type="dxa"/>
                      <w:right w:w="225" w:type="dxa"/>
                    </w:tblCellMar>
                    <w:tblLook w:val="0000" w:firstRow="0" w:lastRow="0" w:firstColumn="0" w:lastColumn="0" w:noHBand="0" w:noVBand="0"/>
                  </w:tblPr>
                  <w:tblGrid>
                    <w:gridCol w:w="3390"/>
                  </w:tblGrid>
                  <w:tr w:rsidR="00D024A7" w:rsidRPr="00FE3E8D">
                    <w:trPr>
                      <w:tblCellSpacing w:w="0" w:type="dxa"/>
                    </w:trPr>
                    <w:tc>
                      <w:tcPr>
                        <w:tcW w:w="0" w:type="auto"/>
                        <w:tcBorders>
                          <w:top w:val="nil"/>
                          <w:left w:val="nil"/>
                          <w:bottom w:val="nil"/>
                          <w:right w:val="nil"/>
                        </w:tcBorders>
                      </w:tcPr>
                      <w:p w:rsidR="00D024A7" w:rsidRPr="00FE3E8D" w:rsidRDefault="00321F70" w:rsidP="00212382">
                        <w:pPr>
                          <w:ind w:firstLine="540"/>
                          <w:jc w:val="both"/>
                          <w:rPr>
                            <w:color w:val="000000"/>
                          </w:rPr>
                        </w:pPr>
                        <w:r>
                          <w:rPr>
                            <w:color w:val="000000"/>
                          </w:rPr>
                          <w:pict>
                            <v:shape id="_x0000_i1031" type="#_x0000_t75" alt="График цены платины" style="width:147pt;height:97.5pt">
                              <v:imagedata r:id="rId12" o:title=""/>
                            </v:shape>
                          </w:pict>
                        </w:r>
                      </w:p>
                    </w:tc>
                  </w:tr>
                </w:tbl>
                <w:p w:rsidR="00D024A7" w:rsidRPr="00FE3E8D" w:rsidRDefault="00D024A7" w:rsidP="00212382">
                  <w:pPr>
                    <w:ind w:firstLine="540"/>
                    <w:jc w:val="both"/>
                    <w:rPr>
                      <w:color w:val="000000"/>
                    </w:rPr>
                  </w:pPr>
                </w:p>
              </w:tc>
            </w:tr>
          </w:tbl>
          <w:p w:rsidR="00D024A7" w:rsidRPr="00FE3E8D" w:rsidRDefault="00D024A7" w:rsidP="00212382">
            <w:pPr>
              <w:ind w:firstLine="540"/>
              <w:jc w:val="both"/>
              <w:rPr>
                <w:color w:val="000000"/>
              </w:rPr>
            </w:pPr>
          </w:p>
        </w:tc>
        <w:tc>
          <w:tcPr>
            <w:tcW w:w="0" w:type="auto"/>
            <w:vAlign w:val="center"/>
          </w:tcPr>
          <w:p w:rsidR="00D024A7" w:rsidRPr="00FE3E8D" w:rsidRDefault="00321F70" w:rsidP="00212382">
            <w:pPr>
              <w:ind w:firstLine="540"/>
              <w:jc w:val="both"/>
              <w:rPr>
                <w:color w:val="000000"/>
              </w:rPr>
            </w:pPr>
            <w:r>
              <w:rPr>
                <w:color w:val="000000"/>
              </w:rPr>
              <w:pict>
                <v:shape id="_x0000_i1032" type="#_x0000_t75" style="width:6.75pt;height:49.5pt">
                  <v:imagedata r:id="rId10" o:title=""/>
                </v:shape>
              </w:pict>
            </w:r>
          </w:p>
        </w:tc>
        <w:tc>
          <w:tcPr>
            <w:tcW w:w="2372" w:type="pct"/>
          </w:tcPr>
          <w:tbl>
            <w:tblPr>
              <w:tblW w:w="5000" w:type="pct"/>
              <w:tblCellSpacing w:w="0" w:type="dxa"/>
              <w:tblCellMar>
                <w:left w:w="0" w:type="dxa"/>
                <w:right w:w="0" w:type="dxa"/>
              </w:tblCellMar>
              <w:tblLook w:val="0000" w:firstRow="0" w:lastRow="0" w:firstColumn="0" w:lastColumn="0" w:noHBand="0" w:noVBand="0"/>
            </w:tblPr>
            <w:tblGrid>
              <w:gridCol w:w="4602"/>
            </w:tblGrid>
            <w:tr w:rsidR="00D024A7" w:rsidRPr="00FE3E8D">
              <w:trPr>
                <w:tblCellSpacing w:w="0" w:type="dxa"/>
              </w:trPr>
              <w:tc>
                <w:tcPr>
                  <w:tcW w:w="0" w:type="auto"/>
                  <w:tcBorders>
                    <w:top w:val="nil"/>
                    <w:left w:val="nil"/>
                    <w:bottom w:val="nil"/>
                    <w:right w:val="nil"/>
                  </w:tcBorders>
                  <w:shd w:val="clear" w:color="auto" w:fill="91B83E"/>
                  <w:tcMar>
                    <w:top w:w="45" w:type="dxa"/>
                    <w:left w:w="345" w:type="dxa"/>
                    <w:bottom w:w="45" w:type="dxa"/>
                    <w:right w:w="0" w:type="dxa"/>
                  </w:tcMar>
                  <w:vAlign w:val="center"/>
                </w:tcPr>
                <w:p w:rsidR="00D024A7" w:rsidRPr="00FE3E8D" w:rsidRDefault="00D024A7" w:rsidP="00212382">
                  <w:pPr>
                    <w:ind w:firstLine="540"/>
                    <w:jc w:val="both"/>
                    <w:rPr>
                      <w:b/>
                      <w:bCs/>
                      <w:color w:val="000000"/>
                    </w:rPr>
                  </w:pPr>
                  <w:r w:rsidRPr="00FE3E8D">
                    <w:rPr>
                      <w:b/>
                      <w:bCs/>
                      <w:color w:val="000000"/>
                    </w:rPr>
                    <w:t>График цены палладия</w:t>
                  </w:r>
                </w:p>
              </w:tc>
            </w:tr>
            <w:tr w:rsidR="00D024A7" w:rsidRPr="00FE3E8D">
              <w:trPr>
                <w:tblCellSpacing w:w="0" w:type="dxa"/>
              </w:trPr>
              <w:tc>
                <w:tcPr>
                  <w:tcW w:w="0" w:type="auto"/>
                  <w:tcBorders>
                    <w:top w:val="nil"/>
                    <w:left w:val="nil"/>
                    <w:bottom w:val="nil"/>
                    <w:right w:val="nil"/>
                  </w:tcBorders>
                  <w:vAlign w:val="center"/>
                </w:tcPr>
                <w:tbl>
                  <w:tblPr>
                    <w:tblW w:w="0" w:type="auto"/>
                    <w:tblCellSpacing w:w="0" w:type="dxa"/>
                    <w:tblCellMar>
                      <w:top w:w="225" w:type="dxa"/>
                      <w:left w:w="225" w:type="dxa"/>
                      <w:bottom w:w="225" w:type="dxa"/>
                      <w:right w:w="225" w:type="dxa"/>
                    </w:tblCellMar>
                    <w:tblLook w:val="0000" w:firstRow="0" w:lastRow="0" w:firstColumn="0" w:lastColumn="0" w:noHBand="0" w:noVBand="0"/>
                  </w:tblPr>
                  <w:tblGrid>
                    <w:gridCol w:w="3388"/>
                  </w:tblGrid>
                  <w:tr w:rsidR="00D024A7" w:rsidRPr="00FE3E8D">
                    <w:trPr>
                      <w:tblCellSpacing w:w="0" w:type="dxa"/>
                    </w:trPr>
                    <w:tc>
                      <w:tcPr>
                        <w:tcW w:w="0" w:type="auto"/>
                        <w:tcBorders>
                          <w:top w:val="nil"/>
                          <w:left w:val="nil"/>
                          <w:bottom w:val="nil"/>
                          <w:right w:val="nil"/>
                        </w:tcBorders>
                      </w:tcPr>
                      <w:p w:rsidR="00D024A7" w:rsidRPr="00FE3E8D" w:rsidRDefault="00321F70" w:rsidP="00212382">
                        <w:pPr>
                          <w:ind w:firstLine="540"/>
                          <w:jc w:val="both"/>
                          <w:rPr>
                            <w:color w:val="000000"/>
                          </w:rPr>
                        </w:pPr>
                        <w:r>
                          <w:rPr>
                            <w:color w:val="000000"/>
                          </w:rPr>
                          <w:pict>
                            <v:shape id="_x0000_i1033" type="#_x0000_t75" alt="График цены палладия" style="width:147pt;height:97.5pt">
                              <v:imagedata r:id="rId13" o:title=""/>
                            </v:shape>
                          </w:pict>
                        </w:r>
                      </w:p>
                    </w:tc>
                  </w:tr>
                </w:tbl>
                <w:p w:rsidR="00D024A7" w:rsidRPr="00FE3E8D" w:rsidRDefault="00D024A7" w:rsidP="00212382">
                  <w:pPr>
                    <w:ind w:firstLine="540"/>
                    <w:jc w:val="both"/>
                    <w:rPr>
                      <w:color w:val="000000"/>
                    </w:rPr>
                  </w:pPr>
                </w:p>
              </w:tc>
            </w:tr>
          </w:tbl>
          <w:p w:rsidR="00D024A7" w:rsidRPr="00FE3E8D" w:rsidRDefault="00D024A7" w:rsidP="00212382">
            <w:pPr>
              <w:ind w:firstLine="540"/>
              <w:jc w:val="both"/>
              <w:rPr>
                <w:color w:val="000000"/>
              </w:rPr>
            </w:pPr>
          </w:p>
        </w:tc>
      </w:tr>
    </w:tbl>
    <w:p w:rsidR="006E75DC" w:rsidRDefault="006E75DC" w:rsidP="00212382">
      <w:pPr>
        <w:ind w:right="3954" w:firstLine="540"/>
        <w:jc w:val="both"/>
        <w:rPr>
          <w:color w:val="000000"/>
        </w:rPr>
      </w:pPr>
    </w:p>
    <w:p w:rsidR="006E75DC" w:rsidRDefault="006E75DC" w:rsidP="00212382">
      <w:pPr>
        <w:ind w:right="3954" w:firstLine="540"/>
        <w:jc w:val="center"/>
        <w:rPr>
          <w:color w:val="000000"/>
        </w:rPr>
      </w:pPr>
      <w:r>
        <w:rPr>
          <w:color w:val="000000"/>
        </w:rPr>
        <w:br w:type="page"/>
        <w:t>СПОСОБЫ</w:t>
      </w:r>
      <w:r w:rsidR="00161974" w:rsidRPr="00FE3E8D">
        <w:rPr>
          <w:color w:val="000000"/>
        </w:rPr>
        <w:t>ИНВЕСТИРОВАНИЯ</w:t>
      </w:r>
    </w:p>
    <w:p w:rsidR="00161974" w:rsidRPr="00FE3E8D" w:rsidRDefault="00161974" w:rsidP="00212382">
      <w:pPr>
        <w:ind w:right="3954" w:firstLine="540"/>
        <w:jc w:val="both"/>
        <w:rPr>
          <w:color w:val="000000"/>
        </w:rPr>
      </w:pPr>
      <w:r w:rsidRPr="00FE3E8D">
        <w:rPr>
          <w:color w:val="000000"/>
        </w:rPr>
        <w:t> </w:t>
      </w:r>
    </w:p>
    <w:p w:rsidR="00161974" w:rsidRPr="00FE3E8D" w:rsidRDefault="00161974" w:rsidP="00212382">
      <w:pPr>
        <w:ind w:firstLine="540"/>
        <w:jc w:val="both"/>
        <w:rPr>
          <w:color w:val="000000"/>
        </w:rPr>
      </w:pPr>
      <w:r w:rsidRPr="00FE3E8D">
        <w:rPr>
          <w:color w:val="000000"/>
        </w:rPr>
        <w:t>По традиции многие люди, желающие заработать на драгоценных металлах, обращают свое внимание на ювелирные украшения. Именно в этой сфере сконцентрированы значительные обороты российского рынка золота и серебра и большая часть покупателей. Однако, инвестиции в ювелирные изделия имеют существенный недостаток - в цене украшений стоимость драгоценного металла не является единственной составляющей: оценивается работа мастера, соответствие дизайна изделия требованиям моды и т.д. Кроме того, при покупке и продаже ювелирных изделий взимается НДС. Поэтому, не исключена ситуация, что купив, например, дорогое кольцо, продать его через несколько лет можно будет лишь с убытками.</w:t>
      </w:r>
    </w:p>
    <w:p w:rsidR="00161974" w:rsidRPr="00FE3E8D" w:rsidRDefault="00161974" w:rsidP="00212382">
      <w:pPr>
        <w:spacing w:before="100" w:beforeAutospacing="1" w:after="100" w:afterAutospacing="1"/>
        <w:ind w:firstLine="540"/>
        <w:jc w:val="both"/>
        <w:rPr>
          <w:color w:val="000000"/>
        </w:rPr>
      </w:pPr>
      <w:r w:rsidRPr="00FE3E8D">
        <w:rPr>
          <w:color w:val="000000"/>
        </w:rPr>
        <w:t xml:space="preserve">Конечно, заработать на ювелирных изделиях из драгоценных металлов можно – если разыскивать работы знаменитых мастеров, редкие экземпляры и т.д.. Но для этого требуется хорошее знание предмета и помощь высококлассных экспертов. В конечном итоге это вложения, рассчитанные на десятилетия вперед и бизнес, имеющий с инвестированием свободных денежных средств мало общего. </w:t>
      </w:r>
    </w:p>
    <w:p w:rsidR="00161974" w:rsidRPr="00FE3E8D" w:rsidRDefault="00161974" w:rsidP="00212382">
      <w:pPr>
        <w:ind w:firstLine="540"/>
        <w:jc w:val="both"/>
        <w:rPr>
          <w:color w:val="000000"/>
        </w:rPr>
      </w:pPr>
      <w:r w:rsidRPr="00FE3E8D">
        <w:rPr>
          <w:color w:val="000000"/>
        </w:rPr>
        <w:t>Существует два главных способа инвестиций в драгоценные металлы: покупка физического металла в слитках или инвестиционных монетах и инвестиции в безналичной форме, то есть открытие в банке специального “металлического” счета. </w:t>
      </w:r>
    </w:p>
    <w:p w:rsidR="00CD0B29" w:rsidRPr="00FE3E8D" w:rsidRDefault="00CD0B29" w:rsidP="00212382">
      <w:pPr>
        <w:ind w:firstLine="540"/>
        <w:jc w:val="both"/>
        <w:rPr>
          <w:color w:val="000000"/>
        </w:rPr>
      </w:pPr>
    </w:p>
    <w:p w:rsidR="00D024A7" w:rsidRPr="00FE3E8D" w:rsidRDefault="00161974" w:rsidP="00212382">
      <w:pPr>
        <w:spacing w:before="100" w:beforeAutospacing="1" w:after="100" w:afterAutospacing="1"/>
        <w:ind w:firstLine="540"/>
        <w:jc w:val="both"/>
        <w:rPr>
          <w:color w:val="000000"/>
        </w:rPr>
      </w:pPr>
      <w:r w:rsidRPr="00FE3E8D">
        <w:rPr>
          <w:b/>
          <w:bCs/>
          <w:color w:val="000000"/>
        </w:rPr>
        <w:t>Покупка золотых слитков и монет</w:t>
      </w:r>
      <w:r w:rsidRPr="00FE3E8D">
        <w:rPr>
          <w:color w:val="000000"/>
        </w:rPr>
        <w:t xml:space="preserve"> - это самый простой и понятный способ вложения денег в драгоценные металлы. Размер слитков определяется ГОСТами, они бывают стандартными и мерными. Стоит помнить, что при продаже слитков с их полной стоимости взимается НДС, а между ценой покупки и продажи существует определенная разница – порядка нескольких процентов. Поэтому приобретение золотых слитков можно рассматривать только как вложения на долгий срок - года, или даже десятилетия, когда курсовая разница в цене золота закроет</w:t>
      </w:r>
      <w:r w:rsidR="00CD0B29" w:rsidRPr="00FE3E8D">
        <w:rPr>
          <w:color w:val="000000"/>
        </w:rPr>
        <w:t xml:space="preserve"> расходы на налоги и проценты. </w:t>
      </w:r>
      <w:r w:rsidR="00D024A7" w:rsidRPr="00FE3E8D">
        <w:rPr>
          <w:color w:val="000000"/>
        </w:rPr>
        <w:t>Десятки банков предлагают частным инвесторам приобрести слитки - от 1 до 1000 граммов, но при покупке физ.лица платят НДС в размере 18 процентов. Вместе с тем, цена продажи слитков в российских банках, как правило, на 20-25 выше мировой. Купив, скажем, золотой слиток,владелец продать его банку либо перекупщику. К сожалению, пока в России отсутствует цивилизованный вторичный рынок драгоценных металлов. Слитки</w:t>
      </w:r>
    </w:p>
    <w:p w:rsidR="00D024A7" w:rsidRPr="00FE3E8D" w:rsidRDefault="00D024A7" w:rsidP="00212382">
      <w:pPr>
        <w:spacing w:before="100" w:beforeAutospacing="1" w:after="100" w:afterAutospacing="1"/>
        <w:ind w:firstLine="540"/>
        <w:jc w:val="both"/>
        <w:rPr>
          <w:color w:val="000000"/>
        </w:rPr>
      </w:pPr>
      <w:r w:rsidRPr="00FE3E8D">
        <w:rPr>
          <w:color w:val="000000"/>
        </w:rPr>
        <w:t>Возможность легально приобретать золото в слитках российские граждане получили в 1997 году. По закону, продавать его имеют право только банки, обладающие спецразрешением Центробанка. Обычно цена продажи золота в наших банках существенно выше рыночной: в среднем, на 25 - 30%. Основная же неприятность для инвестора, решившего вложиться в золотые слитки, кроется в нашем Налоговом кодексе. По российским законам, слитки являются имуществом, поэтому при продаже облагаются НДС (сейчас - 18%). Избежать уплаты НДС можно, если оставить слиток на хранении в банке. При продаже слитка закон также предписывает уплатить налог. Только теперь это будет не НДС, а обычный 13%-ный налог на продажу имущества.</w:t>
      </w:r>
    </w:p>
    <w:p w:rsidR="00FE3E8D" w:rsidRPr="00FE3E8D" w:rsidRDefault="00D024A7" w:rsidP="00212382">
      <w:pPr>
        <w:spacing w:before="100" w:beforeAutospacing="1" w:after="100" w:afterAutospacing="1"/>
        <w:ind w:firstLine="540"/>
        <w:jc w:val="both"/>
        <w:rPr>
          <w:color w:val="000000"/>
        </w:rPr>
      </w:pPr>
      <w:r w:rsidRPr="00FE3E8D">
        <w:rPr>
          <w:color w:val="000000"/>
        </w:rPr>
        <w:t xml:space="preserve"> Принято хранить дома ювелирные украшения. Стоимость изделий из золота в российских ювелирных магазинах завышена. По некоторым оценкам, цены в российских магазинах в 1,5-2 раза выше, чем за рубежом. Ежегодная доходность на рынке антиквариата достигает 25 процентов. Одним из самых выгодных способов вложения денег на рынке драгоценных металлов сегодня называют инвестиции в золотой червонец. Золотой червонец -это почти 8 граммов чистого золота. Банки продают его сейчас в среднем за 3000 рублей. Но продать монету банку можно со скидкой 100-300 рублей. Инвестиционные монеты штампуются миллионными тиражами и никакой ценности, кроме содержащегося в них золота, не имеют. Памятные монеты выпускаютсяограниченным тиражом - от 100 штук до 10-15 тысяч. Чем «старше» такая монета, тем она дороже. Аналитики считают, что для приумножения денежных средств лучше всего приобретать инвестиционные монеты, которые также выпускает ЦБ России. Такие монеты не облагаются НДС и быстрее начинают приносить доход.</w:t>
      </w:r>
      <w:r w:rsidR="00FE3E8D" w:rsidRPr="00FE3E8D">
        <w:rPr>
          <w:color w:val="000000"/>
        </w:rPr>
        <w:t xml:space="preserve"> Инвестиционные монеты</w:t>
      </w:r>
    </w:p>
    <w:p w:rsidR="00FE3E8D" w:rsidRPr="00FE3E8D" w:rsidRDefault="00FE3E8D" w:rsidP="00212382">
      <w:pPr>
        <w:spacing w:before="100" w:beforeAutospacing="1" w:after="100" w:afterAutospacing="1"/>
        <w:ind w:firstLine="540"/>
        <w:jc w:val="both"/>
        <w:rPr>
          <w:color w:val="000000"/>
        </w:rPr>
      </w:pPr>
      <w:r w:rsidRPr="00FE3E8D">
        <w:rPr>
          <w:color w:val="000000"/>
        </w:rPr>
        <w:t>Они изготавливаются из драгоценных металлов и обладают всеми признаками слитков. Главное преимущество таких монет – это, что при их продаже не взимается НДС. Прибыль от сделок с монетами облагается лишь обычным 13%-ным подоходным налогом. По сути дела, доходность от операций с инвестиционными монетами вплотную приближается к доходности обезличенных металлических счетов. Их цена привязана к рыночной стоимости металла, из которого они изготовлены. Банковские комиссионные при операциях со слитками достигают 25-30%, то с монетами эта сумма в абсолютном большинстве случаев не превысит 10% их стоимости.</w:t>
      </w:r>
    </w:p>
    <w:p w:rsidR="00FE3E8D" w:rsidRPr="00FE3E8D" w:rsidRDefault="00FE3E8D" w:rsidP="00212382">
      <w:pPr>
        <w:spacing w:before="100" w:beforeAutospacing="1" w:after="100" w:afterAutospacing="1"/>
        <w:ind w:firstLine="540"/>
        <w:rPr>
          <w:color w:val="000000"/>
        </w:rPr>
      </w:pPr>
      <w:r w:rsidRPr="00FE3E8D">
        <w:rPr>
          <w:color w:val="000000"/>
        </w:rPr>
        <w:t>К настоящему моменту ассортимент инвестиционных монет в России ограничен лишь тремя наименованиями:</w:t>
      </w:r>
      <w:r w:rsidRPr="00FE3E8D">
        <w:rPr>
          <w:color w:val="000000"/>
        </w:rPr>
        <w:br/>
        <w:t>- золотые червонцы;</w:t>
      </w:r>
      <w:r w:rsidRPr="00FE3E8D">
        <w:rPr>
          <w:color w:val="000000"/>
        </w:rPr>
        <w:br/>
        <w:t>- золотая серия «Знаки Зодиака».</w:t>
      </w:r>
      <w:r w:rsidRPr="00FE3E8D">
        <w:rPr>
          <w:color w:val="000000"/>
        </w:rPr>
        <w:br/>
        <w:t>- серебряные монеты «Соболь»;</w:t>
      </w:r>
    </w:p>
    <w:p w:rsidR="00FE3E8D" w:rsidRPr="00FE3E8D" w:rsidRDefault="00FE3E8D" w:rsidP="00212382">
      <w:pPr>
        <w:spacing w:before="100" w:beforeAutospacing="1" w:after="100" w:afterAutospacing="1"/>
        <w:ind w:firstLine="540"/>
        <w:jc w:val="both"/>
        <w:rPr>
          <w:color w:val="000000"/>
        </w:rPr>
      </w:pPr>
      <w:r w:rsidRPr="00FE3E8D">
        <w:rPr>
          <w:color w:val="000000"/>
        </w:rPr>
        <w:t>Безоговорочным лидером на нашем рынке инвестиционных монет являются золотые червонцы, выпуск которых был начат еще в эпоху СССР – в 1975-1982 годах. Каждый червонец представляет собой монету, содержащую не менее 7,742 г чистого золота 900-й пробы.</w:t>
      </w:r>
    </w:p>
    <w:p w:rsidR="00FE3E8D" w:rsidRPr="00FE3E8D" w:rsidRDefault="00FE3E8D" w:rsidP="00212382">
      <w:pPr>
        <w:spacing w:before="100" w:beforeAutospacing="1" w:after="100" w:afterAutospacing="1"/>
        <w:ind w:firstLine="540"/>
        <w:jc w:val="both"/>
        <w:rPr>
          <w:color w:val="000000"/>
        </w:rPr>
      </w:pPr>
      <w:r w:rsidRPr="00FE3E8D">
        <w:rPr>
          <w:color w:val="000000"/>
        </w:rPr>
        <w:t>Монеты серии «Знаки Зодиака» состоят из золота высшей – 999-й – пробы. Разница между ценой покупки и продажи «Зодиаков» там может достигать 10%.</w:t>
      </w:r>
    </w:p>
    <w:p w:rsidR="00FE3E8D" w:rsidRPr="00FE3E8D" w:rsidRDefault="00FE3E8D" w:rsidP="00212382">
      <w:pPr>
        <w:spacing w:before="100" w:beforeAutospacing="1" w:after="100" w:afterAutospacing="1"/>
        <w:ind w:firstLine="540"/>
        <w:jc w:val="both"/>
        <w:rPr>
          <w:color w:val="000000"/>
        </w:rPr>
      </w:pPr>
      <w:r w:rsidRPr="00FE3E8D">
        <w:rPr>
          <w:color w:val="000000"/>
        </w:rPr>
        <w:t>Инвестиционные монеты являются имуществом, поэтому с выручки от их продажи необходимо уплатить 13%-ный подоходный налог.</w:t>
      </w:r>
    </w:p>
    <w:p w:rsidR="00CD0B29" w:rsidRPr="00FE3E8D" w:rsidRDefault="00161974" w:rsidP="00212382">
      <w:pPr>
        <w:ind w:firstLine="540"/>
        <w:jc w:val="both"/>
        <w:rPr>
          <w:color w:val="000000"/>
        </w:rPr>
      </w:pPr>
      <w:r w:rsidRPr="00FE3E8D">
        <w:rPr>
          <w:color w:val="000000"/>
        </w:rPr>
        <w:t>Инвестиции в золотые или серебряные монеты – процесс более динамичный. Однако, приобретая их, следует различать инвестиционные и коллекционные (памятные) монеты. Стоимость последних зависит от редкости, исторической ценности, а не от чистого содержания золота или серебра. Еще одно важное отличие двух типов монет друг от друга – при покупке и продаже коллекционных НДС взимается, а при покупке и продаже инвестиционных – нет.</w:t>
      </w:r>
    </w:p>
    <w:p w:rsidR="00161974" w:rsidRPr="00FE3E8D" w:rsidRDefault="00161974" w:rsidP="00212382">
      <w:pPr>
        <w:ind w:firstLine="540"/>
        <w:jc w:val="both"/>
        <w:rPr>
          <w:color w:val="000000"/>
        </w:rPr>
      </w:pPr>
      <w:r w:rsidRPr="00FE3E8D">
        <w:rPr>
          <w:color w:val="000000"/>
        </w:rPr>
        <w:t>Рыночная цена инвестиционных монет складывается из стоимости золотого содержания и небольшой премии на покрытие расходов по чеканке и распространению. Способ вложения денег в инвестиционные монеты удобен тем, что на сегодня с ними работают десятки российских банков. Спрос на них в последние годы постоянно растет, а цена некоторых монет за время, прошедшее с момента их выпуска, увеличилась в десятки раз.</w:t>
      </w:r>
    </w:p>
    <w:p w:rsidR="00CD0B29" w:rsidRPr="00FE3E8D" w:rsidRDefault="00161974" w:rsidP="00212382">
      <w:pPr>
        <w:spacing w:before="100" w:beforeAutospacing="1" w:after="100" w:afterAutospacing="1"/>
        <w:ind w:firstLine="540"/>
        <w:jc w:val="both"/>
        <w:rPr>
          <w:color w:val="000000"/>
        </w:rPr>
      </w:pPr>
      <w:r w:rsidRPr="00FE3E8D">
        <w:rPr>
          <w:color w:val="000000"/>
        </w:rPr>
        <w:t xml:space="preserve">Еще один способ инвестирования – </w:t>
      </w:r>
      <w:r w:rsidRPr="00FE3E8D">
        <w:rPr>
          <w:b/>
          <w:bCs/>
          <w:color w:val="000000"/>
        </w:rPr>
        <w:t>торговля на бирже</w:t>
      </w:r>
      <w:r w:rsidRPr="00FE3E8D">
        <w:rPr>
          <w:color w:val="000000"/>
        </w:rPr>
        <w:t xml:space="preserve">. Фактически рынок драгоценных металлов работает круглосуточно – торги осуществляют несколько бирж, разбросанных по миру с учетом часовых поясов. Крупнейшая из них -  Лондонская биржа металлов (London Metal Exchange, LME), торговая сессия на которой длится с 7 утра до 7 вечера по лондонскому времени. Среди других площадок – Нью-Йоркская товарная биржа, биржи Сиднея, Гонконга. </w:t>
      </w:r>
    </w:p>
    <w:p w:rsidR="00161974" w:rsidRPr="00FE3E8D" w:rsidRDefault="00161974" w:rsidP="00212382">
      <w:pPr>
        <w:spacing w:before="100" w:beforeAutospacing="1" w:after="100" w:afterAutospacing="1"/>
        <w:ind w:firstLine="540"/>
        <w:jc w:val="both"/>
        <w:rPr>
          <w:color w:val="000000"/>
        </w:rPr>
      </w:pPr>
      <w:r w:rsidRPr="00FE3E8D">
        <w:rPr>
          <w:color w:val="000000"/>
        </w:rPr>
        <w:t>В России торги по драгоценным металлам не проводятся, но это не значит, что частные инвесторы не в состоянии делать вложения в драгоценные металлы: они могут воспользоваться услугами брокера. Более того, участия брокера требуют правила биржевой торговли: сделки с драгоценными металлами осуществляются только через профессиональных участников.</w:t>
      </w:r>
    </w:p>
    <w:p w:rsidR="00161974" w:rsidRPr="00FE3E8D" w:rsidRDefault="00161974" w:rsidP="00212382">
      <w:pPr>
        <w:spacing w:before="100" w:beforeAutospacing="1" w:after="100" w:afterAutospacing="1"/>
        <w:ind w:firstLine="540"/>
        <w:jc w:val="both"/>
        <w:rPr>
          <w:color w:val="000000"/>
        </w:rPr>
      </w:pPr>
      <w:r w:rsidRPr="00FE3E8D">
        <w:rPr>
          <w:color w:val="000000"/>
        </w:rPr>
        <w:t xml:space="preserve">Другое ограничение – минимальный размер лотов. Например, на западных биржах торги по золоту ведутся с лотами не менее 400 унций (примерно 12,4 кг). Чтобы инвесторы с небольшими средствами могли принять участие в торгах, создаются специальные фонды, в которых аккумулируются средства инвесторов. </w:t>
      </w:r>
    </w:p>
    <w:p w:rsidR="00161974" w:rsidRPr="00FE3E8D" w:rsidRDefault="00161974" w:rsidP="00212382">
      <w:pPr>
        <w:spacing w:after="100" w:afterAutospacing="1"/>
        <w:ind w:firstLine="540"/>
        <w:jc w:val="both"/>
        <w:rPr>
          <w:color w:val="000000"/>
        </w:rPr>
      </w:pPr>
      <w:r w:rsidRPr="00FE3E8D">
        <w:rPr>
          <w:color w:val="000000"/>
        </w:rPr>
        <w:t xml:space="preserve">При помощи фондов можно осуществлять инвестиции не только в биржевые лоты, но и в золотодобычу. Добыча золота – процесс очень трудоемкий, требующий значительных вложений. Кроме того, приобретение золотодобывающих предприятий по карману только крупным инвесторам. Фонды помогают решить эту сложность. И в этом случае вкладчики, объединенными средствами которых руководит специалист управляющего фонда, извлекают выгоду дважды: покупая золото у производителя по заранее оговоренной цене и продавая его по наиболее выгодной биржевой цене. </w:t>
      </w:r>
    </w:p>
    <w:p w:rsidR="00161974" w:rsidRPr="00FE3E8D" w:rsidRDefault="00161974" w:rsidP="00212382">
      <w:pPr>
        <w:spacing w:before="100" w:beforeAutospacing="1" w:after="100" w:afterAutospacing="1"/>
        <w:ind w:firstLine="540"/>
        <w:jc w:val="both"/>
        <w:rPr>
          <w:color w:val="000000"/>
        </w:rPr>
      </w:pPr>
      <w:r w:rsidRPr="00FE3E8D">
        <w:rPr>
          <w:color w:val="000000"/>
        </w:rPr>
        <w:t xml:space="preserve">Другой способ заработать на росте цен на металлы – </w:t>
      </w:r>
      <w:r w:rsidRPr="00FE3E8D">
        <w:rPr>
          <w:b/>
          <w:bCs/>
          <w:color w:val="000000"/>
        </w:rPr>
        <w:t>покупка акций золотодобывающих и горнодобывающих компаний</w:t>
      </w:r>
      <w:r w:rsidRPr="00FE3E8D">
        <w:rPr>
          <w:color w:val="000000"/>
        </w:rPr>
        <w:t>. Акции крупных компаний – американской Newmont Mining, канадской Barrick Gold, британо-австралийской BHP Billiton и др., торгуются в Нью-Йорке. Сюда можно включить и акции российской компании «Норильский никель». Инвестор рискует потерять все вложенные в них средства при банкротстве компании или резком снижении стоимости ее акций. Акции не следует считать защитным активом, выполняющим функцию финансовой страховки. Скорее, это спекулятивный инструмент, способный принести неплохой доход при условии правильной оценки риска и потенциальной доходности. Потенциал роста стоимости акций определяется не столько динамикой цен на золото, сколько финансовыми показателями компании-эмитента.</w:t>
      </w:r>
    </w:p>
    <w:p w:rsidR="00161974" w:rsidRPr="00FE3E8D" w:rsidRDefault="00161974" w:rsidP="00212382">
      <w:pPr>
        <w:spacing w:before="100" w:beforeAutospacing="1" w:after="100" w:afterAutospacing="1"/>
        <w:ind w:firstLine="540"/>
        <w:jc w:val="both"/>
        <w:rPr>
          <w:color w:val="000000"/>
        </w:rPr>
      </w:pPr>
      <w:r w:rsidRPr="00FE3E8D">
        <w:rPr>
          <w:color w:val="000000"/>
        </w:rPr>
        <w:t xml:space="preserve">Взаимные фонды – один из наиболее удобных видов бумажных инвестиций в золото. Они дают возможность снизить риск, присущий покупке акций отдельной компании. «Золотые» фонды вкладывают средства своих инвесторов в акции золотодобывающих и аффинажных компаний. В последние два года средняя прибыль по этой категории фондов составила 63%. Недостаток – сильный разброс в доходности «золотых» фондов, что делает их довольно опасным компонентом для портфеля инвестора. </w:t>
      </w:r>
    </w:p>
    <w:p w:rsidR="005E64A7" w:rsidRPr="00FE3E8D" w:rsidRDefault="00161974" w:rsidP="00212382">
      <w:pPr>
        <w:ind w:firstLine="540"/>
        <w:jc w:val="both"/>
        <w:rPr>
          <w:color w:val="000000"/>
        </w:rPr>
      </w:pPr>
      <w:r w:rsidRPr="00FE3E8D">
        <w:rPr>
          <w:color w:val="000000"/>
        </w:rPr>
        <w:t>Если говорить о России, то вложить деньги в драгметалл можно тремя способами: купить мерные слитки, золотые монеты или открыть обезличенный «металлический» счет (ОМС) в банке. Первые два способа крайне неэффективны из-за торговых надбавок, разницы между ценами покупки и продажи и налогов. Открыть ОМС гораздо выгоднее – эту услугу предоставляет целый ряд российских банков. Банки учитывают оплаченное клиентом количество золота исходя из его текущей стоимости на мировом рынке или курса продажи Центробанка. При закрытии счета банк выплачивает вкладчику стоимость драгметалла по текущей цене. На счета, открытые на 1-12 месяцев, банки начисляют проценты в граммах золота, обычно 1-5% годовых, в зависимости от срока. Каким бы способом инвестор ни воспользовался, нужно помнить – к золоту, этой «вечной ценности» прибегают в кризисные времена, когда вложения в традиционные активы приносят лишь разочарование и убытки. Бурные, но краткосрочные подъемы на рынке золота могут сменяться длительными периодами стагнации. Следовательно, включение золота в инвестиционный портфель должно происходить в защитных целях, для его стабилизации в периоды высокой инфляции и политической и экономической неопределенности, а не в целях прироста капитала</w:t>
      </w:r>
      <w:r w:rsidR="00D024A7" w:rsidRPr="00FE3E8D">
        <w:rPr>
          <w:color w:val="000000"/>
        </w:rPr>
        <w:t>.</w:t>
      </w:r>
    </w:p>
    <w:p w:rsidR="006E75DC" w:rsidRDefault="006E75DC" w:rsidP="00212382">
      <w:pPr>
        <w:spacing w:before="100" w:beforeAutospacing="1" w:after="100" w:afterAutospacing="1"/>
        <w:ind w:firstLine="540"/>
        <w:jc w:val="both"/>
        <w:rPr>
          <w:b/>
          <w:bCs/>
          <w:color w:val="000000"/>
        </w:rPr>
      </w:pPr>
    </w:p>
    <w:p w:rsidR="005E64A7" w:rsidRPr="00FE3E8D" w:rsidRDefault="005E64A7" w:rsidP="00212382">
      <w:pPr>
        <w:spacing w:before="100" w:beforeAutospacing="1" w:after="100" w:afterAutospacing="1"/>
        <w:ind w:firstLine="540"/>
        <w:jc w:val="both"/>
        <w:rPr>
          <w:b/>
          <w:bCs/>
          <w:color w:val="000000"/>
        </w:rPr>
      </w:pPr>
      <w:r w:rsidRPr="00FE3E8D">
        <w:rPr>
          <w:b/>
          <w:bCs/>
          <w:color w:val="000000"/>
        </w:rPr>
        <w:t>Обезличенные металлические счета</w:t>
      </w:r>
    </w:p>
    <w:p w:rsidR="005E64A7" w:rsidRPr="00FE3E8D" w:rsidRDefault="005E64A7" w:rsidP="00212382">
      <w:pPr>
        <w:spacing w:before="100" w:beforeAutospacing="1" w:after="100" w:afterAutospacing="1"/>
        <w:ind w:firstLine="540"/>
        <w:jc w:val="both"/>
        <w:rPr>
          <w:color w:val="000000"/>
        </w:rPr>
      </w:pPr>
      <w:r w:rsidRPr="00FE3E8D">
        <w:rPr>
          <w:color w:val="000000"/>
        </w:rPr>
        <w:t>Обезличенные металлические счета - это оптимальный, по мнению экспертов, способ поиграть на рынке драгметаллов, избежав при этом различных комиссионных посредникам, наценок банков и уплаты НДС, а также снизив сумму, подлежащую подоходному налогу. Несмотря на то, что обезличенные металлические счета (ОМС) появились в России сравнительно недавно, они быстро завоевали популярность у финансово активного населения.</w:t>
      </w:r>
    </w:p>
    <w:p w:rsidR="00D024A7" w:rsidRPr="00FE3E8D" w:rsidRDefault="005E64A7" w:rsidP="00212382">
      <w:pPr>
        <w:spacing w:before="100" w:beforeAutospacing="1" w:after="100" w:afterAutospacing="1"/>
        <w:ind w:firstLine="540"/>
        <w:jc w:val="both"/>
        <w:outlineLvl w:val="1"/>
        <w:rPr>
          <w:b/>
          <w:bCs/>
          <w:color w:val="000000"/>
        </w:rPr>
      </w:pPr>
      <w:r w:rsidRPr="00FE3E8D">
        <w:rPr>
          <w:color w:val="000000"/>
        </w:rPr>
        <w:t>Суть обезличенных металлических счетов в том, что в банке открывается вклад, сумма которого пересчитывается по текущему биржевому курсу в определенное количество какого-либо драгоценного металла. В настоящее время наиболее распространены обезличенные металлические счета, привязанные к золоту, хотя ряд банков также предлагает открывать ОМС и в других драгметаллах (серебро, платина, палладий). Когда вкладчик решает закрыть счет, это определенное количество драгоценного металла конвертируется обратно в деньги, но уже по курсу на день закрытия счета.</w:t>
      </w:r>
      <w:r w:rsidRPr="00FE3E8D">
        <w:rPr>
          <w:b/>
          <w:bCs/>
          <w:color w:val="000000"/>
        </w:rPr>
        <w:t xml:space="preserve"> </w:t>
      </w:r>
    </w:p>
    <w:p w:rsidR="005E64A7" w:rsidRPr="00FE3E8D" w:rsidRDefault="005E64A7" w:rsidP="00212382">
      <w:pPr>
        <w:spacing w:before="100" w:beforeAutospacing="1" w:after="100" w:afterAutospacing="1"/>
        <w:ind w:firstLine="540"/>
        <w:jc w:val="both"/>
        <w:outlineLvl w:val="1"/>
        <w:rPr>
          <w:b/>
          <w:bCs/>
          <w:color w:val="000000"/>
        </w:rPr>
      </w:pPr>
      <w:r w:rsidRPr="00FE3E8D">
        <w:rPr>
          <w:b/>
          <w:bCs/>
          <w:color w:val="000000"/>
        </w:rPr>
        <w:t>Виды обезличенных металлических счетов</w:t>
      </w:r>
    </w:p>
    <w:p w:rsidR="005E64A7" w:rsidRPr="00FE3E8D" w:rsidRDefault="005E64A7" w:rsidP="00212382">
      <w:pPr>
        <w:spacing w:before="100" w:beforeAutospacing="1" w:after="100" w:afterAutospacing="1"/>
        <w:ind w:firstLine="540"/>
        <w:jc w:val="both"/>
        <w:rPr>
          <w:color w:val="000000"/>
        </w:rPr>
      </w:pPr>
      <w:r w:rsidRPr="00FE3E8D">
        <w:rPr>
          <w:color w:val="000000"/>
        </w:rPr>
        <w:t>Обезличенные металлические счета бывают двух видов - текущие и срочные. Текущий ОМС - это своего рода вклад до востребования. Проценты по нему не начисляются, на нем просто хранится "виртуальный" драгметалл. Срочный обезличенный металлический счет похож на срочный депозит. На него начисляются проценты по заранее оговоренной ставке, обычно близкой к ставкам по валютным вкладам. Естественно, как и в варианте с депозитом, если вкладчик решает расторгнуть договор раньше срока, он лишается процентного дохода.</w:t>
      </w:r>
    </w:p>
    <w:p w:rsidR="005E64A7" w:rsidRPr="00FE3E8D" w:rsidRDefault="005E64A7" w:rsidP="00212382">
      <w:pPr>
        <w:spacing w:before="100" w:beforeAutospacing="1" w:after="100" w:afterAutospacing="1"/>
        <w:ind w:firstLine="540"/>
        <w:jc w:val="both"/>
        <w:rPr>
          <w:color w:val="000000"/>
        </w:rPr>
      </w:pPr>
      <w:r w:rsidRPr="00FE3E8D">
        <w:rPr>
          <w:color w:val="000000"/>
        </w:rPr>
        <w:t>Если ставится задача просто сохранить сбережения на длительный срок (больше года) и обеспечить какой-то доход, то лучше завести срочный ОМС. Если же играть на бирже и заработать на краткосрочных изменениях курса, то текущий ОМС, по которому можно проводить операции в любое время.</w:t>
      </w:r>
    </w:p>
    <w:p w:rsidR="005E64A7" w:rsidRPr="000A2AE6" w:rsidRDefault="005E64A7" w:rsidP="00212382">
      <w:pPr>
        <w:spacing w:before="100" w:beforeAutospacing="1" w:after="100" w:afterAutospacing="1"/>
        <w:ind w:firstLine="720"/>
        <w:jc w:val="both"/>
        <w:rPr>
          <w:b/>
          <w:bCs/>
          <w:color w:val="000000"/>
        </w:rPr>
      </w:pPr>
      <w:r w:rsidRPr="000A2AE6">
        <w:rPr>
          <w:b/>
          <w:bCs/>
          <w:color w:val="000000"/>
        </w:rPr>
        <w:t>Результаты инвестиций: март 06 - март 07</w:t>
      </w:r>
      <w:r w:rsidR="000A2AE6">
        <w:rPr>
          <w:b/>
          <w:bCs/>
          <w:color w:val="000000"/>
        </w:rPr>
        <w:t>(по данным публикаций)</w:t>
      </w:r>
    </w:p>
    <w:p w:rsidR="00CD0B29" w:rsidRPr="00FE3E8D" w:rsidRDefault="005E64A7" w:rsidP="00212382">
      <w:pPr>
        <w:spacing w:before="100" w:beforeAutospacing="1" w:after="100" w:afterAutospacing="1"/>
        <w:ind w:firstLine="540"/>
        <w:jc w:val="both"/>
        <w:rPr>
          <w:color w:val="000000"/>
        </w:rPr>
      </w:pPr>
      <w:r w:rsidRPr="00FE3E8D">
        <w:rPr>
          <w:color w:val="000000"/>
        </w:rPr>
        <w:t>Как известно, когда доллар падает, золото - растет. Руководствуясь этим жизненным наблюдением, за год можно было заработать 36%. Именно настолько выросли котировки золота на биржевых торгах за год (март к марту). Серебро, однако, не продемонстрировало столь внушительных результатов, и к марту 2007 года выросло в цене всего на 10%. Но это всё равно больше инфляции, которая за год (март к марту) увеличилась в России на 8,4%.По подсчетам агентства Bloomberg, благородный желтый металл в минувшем году подорожал на 24%. Самый большой ценовой скачок был зафиксирован 12 мая — за тройскую унцию (около 31,1 г) давали 730,4 американских доллара, что дало возможность опытным игрокам на рынке золота получить доход до 40% годовых всего за полгода. Цена золота определяется долларом и психологией</w:t>
      </w:r>
      <w:r w:rsidRPr="00FE3E8D">
        <w:rPr>
          <w:color w:val="000000"/>
        </w:rPr>
        <w:br/>
        <w:t>Мировые цены на золото (как, впрочем, и другие драгоценные металлы) растут без остановок уже шестой год</w:t>
      </w:r>
      <w:r w:rsidR="00CD0B29" w:rsidRPr="00FE3E8D">
        <w:rPr>
          <w:color w:val="000000"/>
        </w:rPr>
        <w:t>. Эксперты единодушно высказывают мнение, что и в текущем году тенденция роста цены золота сохранится и, несмотря на регулярные коррекции, в обозримом будущем мир опять увидит обновление исторических максимумов. Возможные изменения спроса могут лишь ускорять или замедлять темпы удорожания драгоценных металлов. Предпосылок к этому достаточно. Главная причина — слабость американской валюты. Затяжное падение доллара уже мало кто воспринимает как временные тенденции. Многие страны решили диверсифицировать свои валютные резервы. Если раньше основную часть резервов они держали в долларе, то теперь, видя его ослабление, предпочитают другие валюты и золото. Частные инвесторы всего мира также подхватили эту тенденцию.</w:t>
      </w:r>
    </w:p>
    <w:p w:rsidR="00FE3E8D" w:rsidRPr="00FE3E8D" w:rsidRDefault="00CD0B29" w:rsidP="00212382">
      <w:pPr>
        <w:spacing w:before="100" w:beforeAutospacing="1" w:after="100" w:afterAutospacing="1"/>
        <w:ind w:firstLine="540"/>
        <w:jc w:val="both"/>
        <w:rPr>
          <w:color w:val="000000"/>
        </w:rPr>
      </w:pPr>
      <w:r w:rsidRPr="00FE3E8D">
        <w:rPr>
          <w:color w:val="000000"/>
        </w:rPr>
        <w:t>На самом деле цена золота связана не с долларом, нефтью или войной, а с негативными ожиданиями инвесторов, которые, в свою очередь, могут порождаться любым из перечисленных факторов, и не только ими. По большому счету цена золота — это цена страха и неуверенности в завтрашнем дне.</w:t>
      </w:r>
    </w:p>
    <w:p w:rsidR="00FE3E8D" w:rsidRPr="00FE3E8D" w:rsidRDefault="00CD0B29" w:rsidP="00212382">
      <w:pPr>
        <w:spacing w:before="100" w:beforeAutospacing="1" w:after="100" w:afterAutospacing="1"/>
        <w:ind w:firstLine="540"/>
        <w:jc w:val="both"/>
        <w:rPr>
          <w:color w:val="000000"/>
        </w:rPr>
      </w:pPr>
      <w:r w:rsidRPr="00FE3E8D">
        <w:rPr>
          <w:color w:val="000000"/>
        </w:rPr>
        <w:t>Заработать на слитках</w:t>
      </w:r>
      <w:r w:rsidR="00212382">
        <w:rPr>
          <w:color w:val="000000"/>
        </w:rPr>
        <w:t xml:space="preserve">. </w:t>
      </w:r>
      <w:r w:rsidRPr="00FE3E8D">
        <w:rPr>
          <w:color w:val="000000"/>
        </w:rPr>
        <w:t>Изменение мировых цен на банковское золото достаточно оперативно отражается на отечественном рынке. Сегодняшняя средняя цена золота в наших банках все еще процентов на 5—10 превышает европейскую. Однако недостатка в покупателях банки не испытывают. Удачность вложения средств также зависит от веса слитка — чем крупнее слиток, тем инвестиция потенциально выгоднее, поскольку по мере роста веса металла значительно уменьшается цена 1 грамма и маржа банка при выкупе слитка. Золотые депозиты — самый интересный инструмент</w:t>
      </w:r>
      <w:r w:rsidR="00212382">
        <w:rPr>
          <w:color w:val="000000"/>
        </w:rPr>
        <w:t xml:space="preserve">. </w:t>
      </w:r>
      <w:r w:rsidRPr="00FE3E8D">
        <w:rPr>
          <w:color w:val="000000"/>
        </w:rPr>
        <w:t>Однако наибольший доход от инвестиций в драгоценный металл получили украинцы, оформившие депозитные вклады в золоте. На сегодняшний день доходность по данным депозитам находится в диапазоне от 1,5 до 5%, в зависимости от выбранного банка и размера вклада. Депозиты в банковских металлах условно делят на «наличные» и «безналичные». В первом случае реальный слиток необходимо купить в банке и положить его на депозит. Недостатком данного вида депозита является все та же маржа между ценой покупки и продажи, съедающая большую часть возможного дохода.</w:t>
      </w:r>
    </w:p>
    <w:p w:rsidR="00212382" w:rsidRDefault="00CD0B29" w:rsidP="00212382">
      <w:pPr>
        <w:spacing w:before="100" w:beforeAutospacing="1" w:after="100" w:afterAutospacing="1"/>
        <w:ind w:firstLine="540"/>
        <w:jc w:val="both"/>
        <w:rPr>
          <w:color w:val="000000"/>
        </w:rPr>
      </w:pPr>
      <w:r w:rsidRPr="00FE3E8D">
        <w:rPr>
          <w:color w:val="000000"/>
        </w:rPr>
        <w:t>При открытии депозита в «безналичном металле» клиент вкладывает в банк свои деньги, которые пересчитываются в эквивалент выбранного металла по курсу НБУ на день открытия вклада. Реально металл при этом не поставляется и маржа, как правило, отсутствует либо минимальна, что действительно позволяет выиграть в случае роста котировок металла. * * *</w:t>
      </w:r>
    </w:p>
    <w:p w:rsidR="00212382" w:rsidRDefault="00CD0B29" w:rsidP="00212382">
      <w:pPr>
        <w:spacing w:before="100" w:beforeAutospacing="1" w:after="100" w:afterAutospacing="1"/>
        <w:ind w:firstLine="540"/>
        <w:jc w:val="both"/>
        <w:rPr>
          <w:color w:val="000000"/>
        </w:rPr>
      </w:pPr>
      <w:r w:rsidRPr="00FE3E8D">
        <w:rPr>
          <w:color w:val="000000"/>
        </w:rPr>
        <w:t>Банковские металлы по итогам минувшего года эксперты справедливо называют одной из самых доходных инвестиций. По существу они уступают лишь инвестициям в недвижимость и ценные бумаги. Отечественные банкиры уверены в больших перспективах этого рынка и прогнозируют в текущем году как минимум удвоение объема операций с банковскими металлами и объемов «золотых депозитов».  В настоящее время инвестиции в драгоценные металлы - один из наиболее динамично развивающихся сегментов рынка. Этому способствуют несколько факторов: во-первых, непреходящий интерес к золоту как средству тезаврации; во-вторых, существование достойной альтернативы инвестициям на фондовом рынке вследствие стабильного увеличения цен на золото в течение последних трех лет (рис. 1); не менее важным для инвестора является и возможность диверсификации вложений.</w:t>
      </w:r>
    </w:p>
    <w:p w:rsidR="00212382" w:rsidRDefault="00CD0B29" w:rsidP="00212382">
      <w:pPr>
        <w:spacing w:before="100" w:beforeAutospacing="1" w:after="100" w:afterAutospacing="1"/>
        <w:ind w:firstLine="540"/>
        <w:jc w:val="both"/>
        <w:rPr>
          <w:color w:val="000000"/>
        </w:rPr>
      </w:pPr>
      <w:r w:rsidRPr="00FE3E8D">
        <w:rPr>
          <w:color w:val="000000"/>
        </w:rPr>
        <w:t>    В России на данный момент рынок драгоценных металлов и, в частности, рынок золота достаточно либерален с точки зрения законодательства. В 2003 г. в связи с вступлением в силу нового валютного законодательства драгоценные металлы перешли из состава валютных ценностей в объект имущественных прав. Кроме того, при покупке золота в слитках банки были обязаны сообщать в налоговую инспекцию о заключенной сделке, что отрицательно сказывалось на интересе частных инвесторов к этому активу. На сегодняшний день такая норма отменена. То есть с уверенностью можно говорить о том, что данный сегмент рынка становится для инвесторов привлекательным.</w:t>
      </w:r>
    </w:p>
    <w:p w:rsidR="00FE3E8D" w:rsidRPr="00FE3E8D" w:rsidRDefault="00CD0B29" w:rsidP="00212382">
      <w:pPr>
        <w:spacing w:before="100" w:beforeAutospacing="1" w:after="100" w:afterAutospacing="1"/>
        <w:ind w:firstLine="540"/>
        <w:jc w:val="both"/>
        <w:rPr>
          <w:color w:val="000000"/>
        </w:rPr>
      </w:pPr>
      <w:r w:rsidRPr="00FE3E8D">
        <w:rPr>
          <w:color w:val="000000"/>
        </w:rPr>
        <w:t>    В России постепенно увеличивается интерес к вложениям в золото, и банки стараются удовлетворить этот спрос, предлагая новые продукты физическим лицам, позволяющие инвесторам реализовать любые планы - от долгосрочных вложений до краткосрочных спекуляций.</w:t>
      </w:r>
    </w:p>
    <w:p w:rsidR="000A2AE6" w:rsidRPr="00FE3E8D" w:rsidRDefault="00CD0B29" w:rsidP="00212382">
      <w:pPr>
        <w:tabs>
          <w:tab w:val="left" w:pos="6660"/>
        </w:tabs>
        <w:spacing w:before="100" w:beforeAutospacing="1" w:after="100" w:afterAutospacing="1"/>
        <w:ind w:firstLine="540"/>
        <w:jc w:val="both"/>
        <w:rPr>
          <w:color w:val="000000"/>
        </w:rPr>
      </w:pPr>
      <w:r w:rsidRPr="00FE3E8D">
        <w:rPr>
          <w:color w:val="000000"/>
        </w:rPr>
        <w:t>   Существуют различные инструменты инвестирования в драгоценные металлы, а именно: продажа и покупка золотых или серебряных слитков, открытие и обслуживание обезличенных &lt;металлических&gt; счетов и покупка/продажа монет из драгоценных металлов. У каждой операции есть свои достоинства и недостатки. Выбор конкретного вида операций зависит от предпочтения и ожидания инвестора.</w:t>
      </w:r>
      <w:bookmarkStart w:id="0" w:name="_GoBack"/>
      <w:bookmarkEnd w:id="0"/>
    </w:p>
    <w:sectPr w:rsidR="000A2AE6" w:rsidRPr="00FE3E8D" w:rsidSect="00541D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70C0C"/>
    <w:multiLevelType w:val="multilevel"/>
    <w:tmpl w:val="E13436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EFC518E"/>
    <w:multiLevelType w:val="multilevel"/>
    <w:tmpl w:val="187A59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09A"/>
    <w:rsid w:val="000A2AE6"/>
    <w:rsid w:val="00161974"/>
    <w:rsid w:val="00212382"/>
    <w:rsid w:val="002861C7"/>
    <w:rsid w:val="00321F70"/>
    <w:rsid w:val="00324FB9"/>
    <w:rsid w:val="00410FF8"/>
    <w:rsid w:val="00541D25"/>
    <w:rsid w:val="005E64A7"/>
    <w:rsid w:val="006E75DC"/>
    <w:rsid w:val="00775E3C"/>
    <w:rsid w:val="008A167E"/>
    <w:rsid w:val="00B5409A"/>
    <w:rsid w:val="00CD0B29"/>
    <w:rsid w:val="00CD443B"/>
    <w:rsid w:val="00D024A7"/>
    <w:rsid w:val="00D128CF"/>
    <w:rsid w:val="00D4522E"/>
    <w:rsid w:val="00EC20A3"/>
    <w:rsid w:val="00FE3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A8DCE01F-AC40-4D02-886F-C9468061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43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4522E"/>
    <w:rPr>
      <w:color w:val="0000FF"/>
      <w:u w:val="single"/>
    </w:rPr>
  </w:style>
  <w:style w:type="paragraph" w:styleId="a4">
    <w:name w:val="Normal (Web)"/>
    <w:basedOn w:val="a"/>
    <w:uiPriority w:val="99"/>
    <w:rsid w:val="002861C7"/>
    <w:pPr>
      <w:spacing w:before="100" w:beforeAutospacing="1" w:after="100" w:afterAutospacing="1"/>
    </w:pPr>
    <w:rPr>
      <w:rFonts w:ascii="Verdana" w:hAnsi="Verdana" w:cs="Verdana"/>
      <w:sz w:val="20"/>
      <w:szCs w:val="20"/>
    </w:rPr>
  </w:style>
  <w:style w:type="paragraph" w:customStyle="1" w:styleId="tf">
    <w:name w:val="tf"/>
    <w:basedOn w:val="a"/>
    <w:uiPriority w:val="99"/>
    <w:rsid w:val="002861C7"/>
    <w:pPr>
      <w:spacing w:before="100" w:beforeAutospacing="1" w:after="100" w:afterAutospacing="1"/>
    </w:pPr>
    <w:rPr>
      <w:rFonts w:ascii="Verdana" w:hAnsi="Verdana" w:cs="Verdana"/>
      <w:color w:val="003366"/>
      <w:sz w:val="17"/>
      <w:szCs w:val="17"/>
    </w:rPr>
  </w:style>
  <w:style w:type="character" w:styleId="a5">
    <w:name w:val="Strong"/>
    <w:uiPriority w:val="99"/>
    <w:qFormat/>
    <w:rsid w:val="002861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80604">
      <w:marLeft w:val="0"/>
      <w:marRight w:val="0"/>
      <w:marTop w:val="0"/>
      <w:marBottom w:val="0"/>
      <w:divBdr>
        <w:top w:val="none" w:sz="0" w:space="0" w:color="auto"/>
        <w:left w:val="none" w:sz="0" w:space="0" w:color="auto"/>
        <w:bottom w:val="none" w:sz="0" w:space="0" w:color="auto"/>
        <w:right w:val="none" w:sz="0" w:space="0" w:color="auto"/>
      </w:divBdr>
      <w:divsChild>
        <w:div w:id="829980610">
          <w:marLeft w:val="0"/>
          <w:marRight w:val="0"/>
          <w:marTop w:val="0"/>
          <w:marBottom w:val="0"/>
          <w:divBdr>
            <w:top w:val="none" w:sz="0" w:space="0" w:color="auto"/>
            <w:left w:val="single" w:sz="6" w:space="9" w:color="CCCCCC"/>
            <w:bottom w:val="single" w:sz="6" w:space="11" w:color="CCCCCC"/>
            <w:right w:val="single" w:sz="6" w:space="9" w:color="CCCCCC"/>
          </w:divBdr>
        </w:div>
      </w:divsChild>
    </w:div>
    <w:div w:id="829980605">
      <w:marLeft w:val="0"/>
      <w:marRight w:val="0"/>
      <w:marTop w:val="0"/>
      <w:marBottom w:val="0"/>
      <w:divBdr>
        <w:top w:val="none" w:sz="0" w:space="0" w:color="auto"/>
        <w:left w:val="none" w:sz="0" w:space="0" w:color="auto"/>
        <w:bottom w:val="none" w:sz="0" w:space="0" w:color="auto"/>
        <w:right w:val="none" w:sz="0" w:space="0" w:color="auto"/>
      </w:divBdr>
    </w:div>
    <w:div w:id="829980606">
      <w:marLeft w:val="0"/>
      <w:marRight w:val="0"/>
      <w:marTop w:val="0"/>
      <w:marBottom w:val="0"/>
      <w:divBdr>
        <w:top w:val="none" w:sz="0" w:space="0" w:color="auto"/>
        <w:left w:val="none" w:sz="0" w:space="0" w:color="auto"/>
        <w:bottom w:val="none" w:sz="0" w:space="0" w:color="auto"/>
        <w:right w:val="none" w:sz="0" w:space="0" w:color="auto"/>
      </w:divBdr>
      <w:divsChild>
        <w:div w:id="829980611">
          <w:marLeft w:val="0"/>
          <w:marRight w:val="0"/>
          <w:marTop w:val="0"/>
          <w:marBottom w:val="0"/>
          <w:divBdr>
            <w:top w:val="none" w:sz="0" w:space="0" w:color="auto"/>
            <w:left w:val="single" w:sz="6" w:space="9" w:color="CCCCCC"/>
            <w:bottom w:val="single" w:sz="6" w:space="11" w:color="CCCCCC"/>
            <w:right w:val="single" w:sz="6" w:space="9" w:color="CCCCCC"/>
          </w:divBdr>
        </w:div>
      </w:divsChild>
    </w:div>
    <w:div w:id="829980607">
      <w:marLeft w:val="0"/>
      <w:marRight w:val="0"/>
      <w:marTop w:val="0"/>
      <w:marBottom w:val="0"/>
      <w:divBdr>
        <w:top w:val="none" w:sz="0" w:space="0" w:color="auto"/>
        <w:left w:val="none" w:sz="0" w:space="0" w:color="auto"/>
        <w:bottom w:val="none" w:sz="0" w:space="0" w:color="auto"/>
        <w:right w:val="none" w:sz="0" w:space="0" w:color="auto"/>
      </w:divBdr>
    </w:div>
    <w:div w:id="829980609">
      <w:marLeft w:val="0"/>
      <w:marRight w:val="0"/>
      <w:marTop w:val="0"/>
      <w:marBottom w:val="0"/>
      <w:divBdr>
        <w:top w:val="none" w:sz="0" w:space="0" w:color="auto"/>
        <w:left w:val="none" w:sz="0" w:space="0" w:color="auto"/>
        <w:bottom w:val="none" w:sz="0" w:space="0" w:color="auto"/>
        <w:right w:val="none" w:sz="0" w:space="0" w:color="auto"/>
      </w:divBdr>
      <w:divsChild>
        <w:div w:id="829980608">
          <w:marLeft w:val="0"/>
          <w:marRight w:val="0"/>
          <w:marTop w:val="0"/>
          <w:marBottom w:val="0"/>
          <w:divBdr>
            <w:top w:val="none" w:sz="0" w:space="0" w:color="auto"/>
            <w:left w:val="single" w:sz="6" w:space="9" w:color="CCCCCC"/>
            <w:bottom w:val="single" w:sz="6" w:space="11" w:color="CCCCCC"/>
            <w:right w:val="single" w:sz="6" w:space="9"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4506</Words>
  <Characters>25686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30132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олька</dc:creator>
  <cp:keywords/>
  <dc:description/>
  <cp:lastModifiedBy>admin</cp:lastModifiedBy>
  <cp:revision>2</cp:revision>
  <cp:lastPrinted>2007-03-08T19:15:00Z</cp:lastPrinted>
  <dcterms:created xsi:type="dcterms:W3CDTF">2014-03-12T13:40:00Z</dcterms:created>
  <dcterms:modified xsi:type="dcterms:W3CDTF">2014-03-12T13:40:00Z</dcterms:modified>
</cp:coreProperties>
</file>