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C5" w:rsidRPr="00EC7425" w:rsidRDefault="00070DC5" w:rsidP="00070DC5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 xml:space="preserve">Балобан 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Falco cherrug </w:t>
      </w:r>
    </w:p>
    <w:p w:rsidR="00070DC5" w:rsidRPr="00316751" w:rsidRDefault="00E86788" w:rsidP="00070DC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.75pt;height:153.75pt;mso-wrap-distance-left:0;mso-wrap-distance-right:0;mso-position-vertical-relative:line" o:allowoverlap="f">
            <v:imagedata r:id="rId4" o:title=""/>
          </v:shape>
        </w:pic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Отряд Соколообразные - Falconiformes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Семейство Соколиные - Falconidae 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СТАТУС. Редкие виды (III категория) 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Ареал обитания </w:t>
      </w:r>
    </w:p>
    <w:p w:rsidR="00070DC5" w:rsidRPr="00316751" w:rsidRDefault="00E86788" w:rsidP="00070DC5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Редкий, недостаточно изученный вид. Длина крыла 336-380 мм. Лесостепная и степная зоны. 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Распространение. Населяет южные окраины лесной зоны, лесостепь, а также островные леса степной зоны, где ареал имеет пятнистый характер (отсутствует в ряде районов Поволжья, Черноземного Центра, на Северном Кавказе). Встречается также в Молдавии, на Украине, в Казахстане и республиках Средней Азии. За пределами бывшего СССР гнездится на юге Центральной Европы, на Балканах, в Турции, на Среднем Востоке, в Монголии и Китае.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В конце ХIХ - начале ХХ вв. отмечалось заметное продвижение границы ареала балобана к северу в связи с разреживанием сплошных лесных массивов. В Европейской части страны этот процесс к настоящему времени, вероятно, прекратился (1). Не исключено вторичное отступление границы распространения этого сокола к югу, вызванное интенсивным хозяйственным и рекреационным освоением излюбленных мест его обитания. На востоке (Алтай, Прибайкалье) некоторое расширение ареала к северу, возможно, продолжается (2, 3).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Гнездится балобан в лесах вблизи открытых пространств, в отдельных насаждениях, старых лесополосах, а также невысоко в горах. Занимает чужие гнезда или устраивает собственные на скалах.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На зимовки мигрирует в Восточную Африку, на Ближний Восток и в Южную Азию; часть птиц зимует у юж- ных границ бывшего СССР. 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Численность. В европейской части ареала балобана тенденции изменения численности изучены слабо. Есть сведения об исчезновении ранее известных гнездовий, например, в Тульских засеках (4), о длительном их сохранении, например, в Воронежском заповеднике (5), по долине среднего течения р. Урал (6), об относительно новых находках в 50 - 60-е гг., например, неподалеку от Окского заповедника под Рязанью (7, 8), в Мордовском (9) и Волжско-Камском (10) заповедниках. В целом по европейской части России численность балобана, вероятно, снижается.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Стабильность или даже некоторое увеличение численности балобана отмечается в восточной части ареала, в предгорьях Алтая (2, 11), на крайнем юге Красноярского края (12), в южной Туве (13), вблизи Братского водохранилища на Ангаре (3), в Юго-Восточном Забайкалье (14).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Общая численность балобана в России неизвестна, но, вероятно, не менее нескольких тыс. пар. В Минусинской котловине 1 пара балобанов приходится на 40 кв.км лесостепи (12), по р. Томь в Кемеровской обл. на 350 км учли не более 2 - 3 пар (15), в бассейне р. Онон (Юго-Восточное Забайкалье) гнездовья обнаружены на расстоянии 15 км друг от друга (14).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Значительно лучше состояние популяций балобана изучено за пределами России. В Молдавии насчитывается примерно 20 пар (16), в Крыму - не более 5 - 6 пар (17). Самая высокая в бывшем СССР плотность населения балобана сохранилась на севере Казахстана в Наурзумском заповеднике: в бору Терсек площадью менее 5 кв.км ежегодно гнездится 8 - 12 пар (18), в Наурзумском бору в 1980 г. на площади 180 кв.км найдено 14 жилых гнезд (19). Однако вне заповедника в лесостепном Казахстане балобан редок и численность его сокращается (20). В Иссык-Кульской котловине на территории примерно 1000 кв.км обитает до 12 - 15 пар балобанов, но в последнее десятилетие отмечается сокращение популяции (21).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В зарубежной Европе насчитывается около 100 пар балобанов (22), сосредоточенных на гнездовьях, главным образом в Болгарии (около 30 пар), Венгрии (20 - 40 пар), Чехии и Словакии (15 - 20 пар). Нередок балобан в Монголии (23). 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>Лимитирующие факторы. Сочетание старых лесов или подходящих для гнездования скал с удобными для охоты пространствами определяют требования балобана к местам обитания. Немаловажным фактором является также наличие готовых гнезд других хищников, необходимых балобану для размножения. Установлена тесная связь его расселения с местами концентрации основной добычи: с краснощеким сусликом на Алтае (2), полевкой Брандта в Монголии (24), крапчатым сусликом в Восточной Европе (25).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Вырубка старолесий ухудшает условия гнездования балобана, а истребление сусликов - кормовую базу. Кроме того, эти соколы оказались весьма чувствительными к пестицидам, используемым для истребления грызунов (26) . Постоянное беспокойство вытесняет балобанов из характерных мест обитания. Пагубную роль сыграла кампания борьбы с так называемыми "вредными" пернатыми хищниками. Совокупное действие этих факторов сказывается чрезвычайно губительно: например, стабильная гнездовая группировка из 2 - 4 пар балобанов в Тульских засеках (27) всего через десять лет после отмены здесь заповедного режима уже не существовала. В некоторых районах успех размножения балобанов снижается изъятием птенцов для соколиной охоты (21). Большую опасность представляет местами добыча соколов ради изготовления чучел. </w:t>
      </w:r>
    </w:p>
    <w:p w:rsidR="00070DC5" w:rsidRPr="00316751" w:rsidRDefault="00070DC5" w:rsidP="00070DC5">
      <w:pPr>
        <w:spacing w:before="120"/>
        <w:ind w:firstLine="567"/>
        <w:jc w:val="both"/>
      </w:pPr>
      <w:r w:rsidRPr="00316751">
        <w:t xml:space="preserve">Меры охраны. Вид внесен в Приложение II к Конвенции СИТЕС. Отстрел балобана полностью и повсеместно запрещен. Особое значение для сохранения популяции балобана в условиях освоенной человеком лесостепи имеет заповедный режим: включение известных гнездовий в заповедники или их филиалы, создание специальных заказников, учреждение зон покоя вокруг жилых гнезд. Чтобы оградить гнездовья балобанов от самодеятельных соколятников, коллекционеров кладок, собирателей чучел, назойливых фотографов и даже просто любопытных, необходимо разработать и осуществлять на практике систему наказаний не только за браконьерство, но и за беспокойство соколов в период размножения. Нецелесообразно пропагандировать средствами массовой информации использование соколов для охоты (по крайней мере до создания соответствующей организации и утверждения положения), следует ориентировать охотников, особенно начинающих, на работу с ястребами. Дальнейшее развитие вольерного разведения позволит пополнять разреженные популяции балобана. </w:t>
      </w:r>
    </w:p>
    <w:p w:rsidR="00070DC5" w:rsidRPr="00EC7425" w:rsidRDefault="00070DC5" w:rsidP="00070DC5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070DC5" w:rsidRDefault="00070DC5" w:rsidP="00070DC5">
      <w:pPr>
        <w:spacing w:before="120"/>
        <w:ind w:firstLine="567"/>
        <w:jc w:val="both"/>
      </w:pPr>
      <w:r w:rsidRPr="00316751">
        <w:t>1. Птушенко, Иноземцев, 1968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2. Кучин, 1968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3. Сонин, 1968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4. Галушин, 1980б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5. Лихацкий (в печати, а)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6. Иванов, Хахин (в печати)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7. Сапетин, Галушин, 1958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8. Приклонский, 1977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9. Бородин, 1967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10. Ушаков, Ушакова, 1980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11. Кучин, 1981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12. Кустов, 1980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13. Баранов, Савченко, 1977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14. Щекин, 1965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15. Белянкин (в печати, а)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16. Зубков, 1980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17. Костин и др., 1981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18. Перерва, 1979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19. Брагин (в печати)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20. Гайденко, 1981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21. Шална, Сорокин, 1981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22. Baumgart, 1978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23. Mauersberger, 1979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24. Шагдарсурэн, 1964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25. Baumgart, 1977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26. Шилова, Переладов, 1974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27. Лихачев, 1957</w:t>
      </w:r>
    </w:p>
    <w:p w:rsidR="00070DC5" w:rsidRDefault="00070DC5" w:rsidP="00070DC5">
      <w:pPr>
        <w:spacing w:before="120"/>
        <w:ind w:firstLine="567"/>
        <w:jc w:val="both"/>
      </w:pPr>
      <w:r w:rsidRPr="00316751">
        <w:t xml:space="preserve"> 28. Шална, Шалнене, 1981.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DC5"/>
    <w:rsid w:val="00070DC5"/>
    <w:rsid w:val="00073677"/>
    <w:rsid w:val="00095BA6"/>
    <w:rsid w:val="0031418A"/>
    <w:rsid w:val="00316751"/>
    <w:rsid w:val="005A2562"/>
    <w:rsid w:val="00A44D32"/>
    <w:rsid w:val="00E12572"/>
    <w:rsid w:val="00E86788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60FA131C-1803-4FFA-B796-A6848FE5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0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5522</Characters>
  <Application>Microsoft Office Word</Application>
  <DocSecurity>0</DocSecurity>
  <Lines>46</Lines>
  <Paragraphs>12</Paragraphs>
  <ScaleCrop>false</ScaleCrop>
  <Company>Home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Балобан </dc:title>
  <dc:subject/>
  <dc:creator>Alena</dc:creator>
  <cp:keywords/>
  <dc:description/>
  <cp:lastModifiedBy>admin</cp:lastModifiedBy>
  <cp:revision>2</cp:revision>
  <dcterms:created xsi:type="dcterms:W3CDTF">2014-02-18T11:53:00Z</dcterms:created>
  <dcterms:modified xsi:type="dcterms:W3CDTF">2014-02-18T11:53:00Z</dcterms:modified>
</cp:coreProperties>
</file>