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F9" w:rsidRDefault="003E4E8B">
      <w:pPr>
        <w:pStyle w:val="1"/>
        <w:jc w:val="center"/>
      </w:pPr>
      <w:r>
        <w:t>Влияние экологического состояния водных объектов на рекреационный потенциал городской территории (на примере г. Томска)</w:t>
      </w:r>
    </w:p>
    <w:p w:rsidR="00256FF9" w:rsidRPr="003E4E8B" w:rsidRDefault="003E4E8B">
      <w:pPr>
        <w:pStyle w:val="a3"/>
      </w:pPr>
      <w:r>
        <w:t> </w:t>
      </w:r>
    </w:p>
    <w:p w:rsidR="00256FF9" w:rsidRDefault="003E4E8B">
      <w:pPr>
        <w:pStyle w:val="a3"/>
      </w:pPr>
      <w:r>
        <w:t>М.А. Каширо</w:t>
      </w:r>
    </w:p>
    <w:p w:rsidR="00256FF9" w:rsidRDefault="003E4E8B">
      <w:pPr>
        <w:pStyle w:val="a3"/>
      </w:pPr>
      <w:r>
        <w:t>Город - это сложная система, природные, техногенные и социальные компоненты которой, взаимодействуя между собой, оказывают существенное влияние друг на друга. Объекты промышленности и городской инфраструктуры изменяют природную составляющую городской среды, которая, в свою очередь, интенсивно влияет на условия жизнедеятельности в пределах города. Ярким примером взаимодействия природных и антропогенных компонентов урбанизированной среды могут служить водные объекты, в том числе и озера.</w:t>
      </w:r>
    </w:p>
    <w:p w:rsidR="00256FF9" w:rsidRDefault="003E4E8B">
      <w:pPr>
        <w:pStyle w:val="a3"/>
      </w:pPr>
      <w:r>
        <w:t>Озера городских территорий и их водосборы находятся под влиянием различных антропогенных факторов. Любое изменение на водосборном бассейне в той или иной степени отражается на формировании поверхностного стока, а через него и на состоянии озерной экосистемы [1]. Активная хозяйственная деятельность человека в пределах урбанизированных территорий преобразует весь комплекс гидрологических, гидрохимических и гидробиологических процессов в водных экосистемах; вызывает химическое и тепловое загрязнение водоемов, увеличивает масштабы и темпы эвтрофирования, нарушает экологическое равновесие и процессы саморегулирования [2]. Несмотря на ухудшение состояния, водные объекты продолжают влиять на процессы развития городской территории: формируют микроклимат и среду близлежащих районов, влияют на процессы застройки и др. Водоемы с ярко выраженной эвтрофикацией и неблагоприятным санитарным состоянием становятся источниками инфекционных заболеваний. Подобные изменения также приводят к потере озерными системами эстетических свойств, что лишает жителей города мест отдыха, купания, рыболовства.</w:t>
      </w:r>
    </w:p>
    <w:p w:rsidR="00256FF9" w:rsidRDefault="003E4E8B">
      <w:pPr>
        <w:pStyle w:val="a3"/>
      </w:pPr>
      <w:r>
        <w:t>Для г. Томска данная проблема особенно актуальна. На территории города проживает около 70% населения области, при этом уровень обеспеченности горожан благоустроенными зелеными зонами достаточно низкий. Исследования, проводимые в рамках разработки Генерального плана г. Томска, выявили, что обеспеченность одного жителя города зелеными насаждениями общего пользования составляет 3,9 м2 [3], что значительно ниже норматива, установленного СНиП 2.07.01-89* [4]. При этом Томск имеет высокий потенциал для формирования комфортной городской среды, важным составляющим элементом которой является создание благоустроенных мест отдыха, озелененных городских пространств, имеющих свою функцию, тематическую направленность, пейзажные и ландшафтно-архитектурные особенности, режим использования. Проект формирования архитектурно-ландшафтной системы «Зеленый Томск» предусматривает создание ряда новых крупных парковых комплексов, некоторые из них находятся вблизи городских озер [5].</w:t>
      </w:r>
    </w:p>
    <w:p w:rsidR="00256FF9" w:rsidRDefault="003E4E8B">
      <w:pPr>
        <w:pStyle w:val="a3"/>
      </w:pPr>
      <w:r>
        <w:t>При создании подобных рекреационных зон в первую очередь необходимо изучение экологического состояния аквальных комплексов как одного из главных лимитирующих факторов в рекреационном использовании побережья и акватории. Для решения данной задачи на территории г. Томска были исследованы 12 озер естественного и антропогенного происхождения, имеющих наибольшую потенциальную привлекательность для рекреантов в связи с размерами и географическим положением.</w:t>
      </w:r>
    </w:p>
    <w:p w:rsidR="00256FF9" w:rsidRDefault="003E4E8B">
      <w:pPr>
        <w:pStyle w:val="a3"/>
      </w:pPr>
      <w:r>
        <w:t>Большинство природных водоемов - озера Кере- петь, Зыряновское, Ереневское в северной части города (мкр. Черемошники), Мавлюкеевское, Университетское, Боярское, Кривое, Песчаное на юге и юго-западе городской территории - имеют старичное происхождение и лежат в пределах центральной поймы р. Томь. В Тимирязево, расположенном на II террасе левого берега р. Томь, находится еще одно Песчаное озеро, возникновение котловины которого связано с эоловыми процессами (котловина выдувания) [6]. Озеро Ботанического сада, расположенное на склоне междуречья в южной части города, своим возникновением обязано грунтовой насыпи, которая запрудила выходы родниковых вод. Поверх насыпи проложена асфальтовая дорога. На притоках р. Ушайка в северо- и юговосточном районах города (мкр. Солнечный и пос. Степановка) также существуют озера антропогенного происхождения.</w:t>
      </w:r>
    </w:p>
    <w:p w:rsidR="00256FF9" w:rsidRDefault="003E4E8B">
      <w:pPr>
        <w:pStyle w:val="a3"/>
      </w:pPr>
      <w:r>
        <w:t>Современное экологическое состояние озер г. Томска можно оценить путем изучения физико-химических характеристик воды. Для решения данной задачи были взяты пробы воды в пяти озерах: Керепети (в северной и юго-восточной части), Мавлюкеевском, Боярском, Песчаном (Тимирязево), озере в мкр. Солнечный. В аккредитованных лабораториях был проведен гидрохимический и микробиологический анализ воды, результаты которого сравнивались с исследованиями, проводимыми ранее Б.Г. Иоганзеном [7], О.А. Пры- гуновой [8]. Для оценки состояния городских водоемов у О.А. Прыгуновой были заимствованы данные по гидрохимии озер Университетского, Ереневского, Зыря- новского. Для воды всех вышеуказанных объектов, а также для системы озер Песчаное - Кривое, озер пос. Степановка и Ботанического сада был проведен анализ органолептических показателей. Данные исследования позволили оценить современное экологическое состояние водных объектов города.</w:t>
      </w:r>
    </w:p>
    <w:p w:rsidR="00256FF9" w:rsidRDefault="003E4E8B">
      <w:pPr>
        <w:pStyle w:val="a3"/>
      </w:pPr>
      <w:r>
        <w:t>По органолептическим характеристикам (табл. 1) относительно чистой можно считать воду двух озер - Боярского и Кривого, т.к. она бесцветная, прозрачная и не имеет запаха. Неприятный запах воды (озера Кере- петь, Зыряновское, Университетское, Мавлюкеевское), повышенная мутность (Керепеть, Зыряновское, Ере- невское), окраска (в Керепети - желто-зеленая, в оз. Зыряновском - буроватая, у остальных озер вода слабожелтая) снижают эстетическую ценность водоемов и создают вокруг них «зону отчуждения», которая, как правило, не используется городским населением. Часто на берегах этих водоемов образуются свалки мусора.</w:t>
      </w:r>
    </w:p>
    <w:p w:rsidR="00256FF9" w:rsidRDefault="003E4E8B">
      <w:pPr>
        <w:pStyle w:val="a3"/>
      </w:pPr>
      <w:r>
        <w:t>Т а б л и ц а 1</w:t>
      </w:r>
    </w:p>
    <w:p w:rsidR="00256FF9" w:rsidRDefault="003E4E8B">
      <w:pPr>
        <w:pStyle w:val="a3"/>
      </w:pPr>
      <w:r>
        <w:t>Органолептическая характеристика воды озер г. Томска</w:t>
      </w:r>
    </w:p>
    <w:p w:rsidR="00256FF9" w:rsidRDefault="003E4E8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256FF9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Название озера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Прозрачность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Цвет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Запах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Осадок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Боярское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Прозрачная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Бесцветная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запаха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осадка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Ереневское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Слегка мутная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Желтоватая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запаха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осадка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Зыряновское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Слегка мутная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Буроватая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Болотный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осадка</w:t>
            </w:r>
          </w:p>
        </w:tc>
      </w:tr>
      <w:tr w:rsidR="00256FF9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Керепеть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Мутная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От слабо-желтого до желто-зеленого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Тяжелый болотный, затхлый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Растительные остатки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Кривое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Прозрачная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Бесцветная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запаха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осадка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Мавлюкеевское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Слегка мутная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Слабо-желтый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Легкий болотный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Растительные остатки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Озеро в мкр. Солнечный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Прозрачная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Слабо-желтый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запаха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Растительные остатки</w:t>
            </w:r>
          </w:p>
        </w:tc>
      </w:tr>
      <w:tr w:rsidR="00256FF9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Озеро на полигоне Ботанического сада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Прозрачная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Бесцветная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Легкий болотный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осадка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Озеро пос. Степановка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Прозрачная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Бесцветная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Напоминает запах гари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Растительные остатки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Песчаное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Прозрачная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Слабо-желтый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запаха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осадка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Песчаное (Тимирязево)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Прозрачная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Желтый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Без запаха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Растительные остатки</w:t>
            </w:r>
          </w:p>
        </w:tc>
      </w:tr>
      <w:tr w:rsidR="00256FF9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Университетское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Мутная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Слабо желтый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Легкий болотный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Растительные остатки</w:t>
            </w:r>
          </w:p>
        </w:tc>
      </w:tr>
    </w:tbl>
    <w:p w:rsidR="00256FF9" w:rsidRPr="003E4E8B" w:rsidRDefault="003E4E8B">
      <w:pPr>
        <w:pStyle w:val="a3"/>
      </w:pPr>
      <w:r>
        <w:t> </w:t>
      </w:r>
    </w:p>
    <w:p w:rsidR="00256FF9" w:rsidRDefault="003E4E8B">
      <w:pPr>
        <w:pStyle w:val="a3"/>
      </w:pPr>
      <w:r>
        <w:t>Микробиологический анализ (табл. 2) показал присутствие в воде исследуемых озер бактерий группы кишечной палочки (БГКП). Максимальное содержание обнаружено в оз. Керепеть (3 000 колониеобразующих единиц (КОЕ) в 100 см3 при допустимой норме 500 КОЕ в 100 см3). В воде</w:t>
      </w:r>
    </w:p>
    <w:p w:rsidR="00256FF9" w:rsidRDefault="003E4E8B">
      <w:pPr>
        <w:pStyle w:val="a3"/>
      </w:pPr>
      <w:r>
        <w:t>оз.Боярского велико количество фекальных коли- форм. В Мавлюкеевском озере БГКП не обнаружены, но только в нем присутствует синегнойная палочка. Эти показатели говорят об эпидемической опасности исследуемых водоемов и невозможности использования их для купания.</w:t>
      </w:r>
    </w:p>
    <w:p w:rsidR="00256FF9" w:rsidRDefault="003E4E8B">
      <w:pPr>
        <w:pStyle w:val="a3"/>
      </w:pPr>
      <w:r>
        <w:t>Т а б л и ц а 2</w:t>
      </w:r>
    </w:p>
    <w:p w:rsidR="00256FF9" w:rsidRDefault="003E4E8B">
      <w:pPr>
        <w:pStyle w:val="a3"/>
      </w:pPr>
      <w:r>
        <w:t>Микробиологическая характеристика воды некоторых озер г. Томска</w:t>
      </w:r>
    </w:p>
    <w:p w:rsidR="00256FF9" w:rsidRDefault="003E4E8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240"/>
        <w:gridCol w:w="240"/>
        <w:gridCol w:w="480"/>
      </w:tblGrid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Название озера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Мкр. Солнечный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Боярское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Песчаное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Pr="003E4E8B" w:rsidRDefault="003E4E8B">
            <w:pPr>
              <w:pStyle w:val="a3"/>
            </w:pPr>
            <w:r w:rsidRPr="003E4E8B">
              <w:t>Мавлюкеев-</w:t>
            </w:r>
          </w:p>
          <w:p w:rsidR="00256FF9" w:rsidRPr="003E4E8B" w:rsidRDefault="003E4E8B">
            <w:pPr>
              <w:pStyle w:val="a3"/>
            </w:pPr>
            <w:r w:rsidRPr="003E4E8B">
              <w:t>ское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6FF9" w:rsidRDefault="003E4E8B">
            <w:r>
              <w:t>Керепеть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 </w:t>
            </w:r>
          </w:p>
        </w:tc>
      </w:tr>
      <w:tr w:rsidR="00256FF9">
        <w:trPr>
          <w:trHeight w:val="735"/>
          <w:tblCellSpacing w:w="0" w:type="dxa"/>
        </w:trPr>
        <w:tc>
          <w:tcPr>
            <w:tcW w:w="0" w:type="auto"/>
            <w:vAlign w:val="center"/>
            <w:hideMark/>
          </w:tcPr>
          <w:p w:rsidR="00256FF9" w:rsidRPr="003E4E8B" w:rsidRDefault="003E4E8B">
            <w:pPr>
              <w:pStyle w:val="a3"/>
            </w:pPr>
            <w:r w:rsidRPr="003E4E8B">
              <w:t>Микро</w:t>
            </w:r>
          </w:p>
          <w:p w:rsidR="00256FF9" w:rsidRPr="003E4E8B" w:rsidRDefault="003E4E8B">
            <w:pPr>
              <w:pStyle w:val="a3"/>
            </w:pPr>
            <w:r w:rsidRPr="003E4E8B">
              <w:t>организмы</w:t>
            </w:r>
          </w:p>
          <w:p w:rsidR="00256FF9" w:rsidRPr="003E4E8B" w:rsidRDefault="003E4E8B">
            <w:pPr>
              <w:pStyle w:val="a3"/>
            </w:pPr>
            <w:r w:rsidRPr="003E4E8B">
              <w:t>(КОЕ в 100 см3)</w:t>
            </w:r>
          </w:p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Pr="003E4E8B" w:rsidRDefault="00256FF9"/>
        </w:tc>
        <w:tc>
          <w:tcPr>
            <w:tcW w:w="0" w:type="auto"/>
            <w:vAlign w:val="center"/>
            <w:hideMark/>
          </w:tcPr>
          <w:p w:rsidR="00256FF9" w:rsidRDefault="003E4E8B">
            <w:r>
              <w:t>ул. Усть- Керепеть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ул. Героев Чубаров- цев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Норматив по СанПиН 2.1.5.980-00 [9]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Общие колиформные бактерии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170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3000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3000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Не более 500</w:t>
            </w:r>
          </w:p>
        </w:tc>
      </w:tr>
      <w:tr w:rsidR="00256FF9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Термотолерантные (фекальные) колиформы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170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3000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3000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Не более 100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Колифаги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Не более 10</w:t>
            </w:r>
          </w:p>
        </w:tc>
      </w:tr>
      <w:tr w:rsidR="00256FF9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Синегнойная палочка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Отсутств.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Отсутств.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Отсутств.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Присутств.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Отсутств.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Отсутств.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Отсутствие</w:t>
            </w:r>
          </w:p>
        </w:tc>
      </w:tr>
    </w:tbl>
    <w:p w:rsidR="00256FF9" w:rsidRPr="003E4E8B" w:rsidRDefault="003E4E8B">
      <w:pPr>
        <w:pStyle w:val="a3"/>
      </w:pPr>
      <w:r>
        <w:t> </w:t>
      </w:r>
    </w:p>
    <w:p w:rsidR="00256FF9" w:rsidRDefault="003E4E8B">
      <w:pPr>
        <w:pStyle w:val="a3"/>
      </w:pPr>
      <w:r>
        <w:t>Гидрохимические исследования включали изучение основных показателей качества воды: общей минерализации озерной воды, ионного состава, содержания некоторых микроэлементов, pH (табл. 3). Вода всех городских озер является пресной из-за расположения территории г. Томска в зоне достаточного увлажнения, и вследствие старичного происхождения большинства исследуемых водоемов. Общая минерализация воды колеблется от 98,45 мг/л у оз. Боярского до 879,04 мг/л в северной части оз. Керепеть. Показатель pH находится в пределах нормы и меняется от 6,67 до 7,6.</w:t>
      </w:r>
    </w:p>
    <w:p w:rsidR="00256FF9" w:rsidRDefault="003E4E8B">
      <w:pPr>
        <w:pStyle w:val="a3"/>
      </w:pPr>
      <w:r>
        <w:t>Гидрохимический анализ воды озер выявил повышенное содержание ионов аммония в воде</w:t>
      </w:r>
    </w:p>
    <w:p w:rsidR="00256FF9" w:rsidRDefault="003E4E8B">
      <w:pPr>
        <w:pStyle w:val="a3"/>
      </w:pPr>
      <w:r>
        <w:t>оз.Песчаного и в северной части оз. Керепеть; практически во всех озерах наблюдается повышенное содержание ионов железа. Кроме того, в воде озер Керепеть, Мавлюкеевское, Боярское, Песчаное, мкр. Солнечный было выявлено присутствие кадмия, превышающего ПДК более чем в 10 раз, и кобальта, также содержащегося в количестве большем, чем должно быть в чистой воде. В воде озер Университетского, Ереневского, Зы- ряновского, Керепети наблюдается превышение содержания лития; а в озерах мкр. Солнечного и Песчаном достаточно высокое содержание титана, по сравнению с другими томскими водоемами.</w:t>
      </w:r>
    </w:p>
    <w:p w:rsidR="00256FF9" w:rsidRDefault="003E4E8B">
      <w:pPr>
        <w:pStyle w:val="a3"/>
      </w:pPr>
      <w:r>
        <w:t>Помимо качества водных масс, состояние водоемов можно диагностировать по количеству и видовому составу гидробионтов. Озера, почти не подверженные зарастанию - Боярское, Песчаное, Кривое, где в летний период наблюдается наличие кубышки, а в прибрежной встречаются небольшие островки осок и рогоза, - обладают достаточно высокими экологическими свойствами. Широкое распространение рогоза и тростника на озерах Мавлюкеевском, Ботанического сада, озере мкр. Солнечный; зарастание осокой береговой части озера Песчаного (Тимирязево), сплавинное заболачивание южной части озера пос. Степановка, прокрытая ряской водная поверхность озер Керепеть, Зыряновско- го, Университетского опосредованно говорят о неблагоприятном экологическом состоянии водоемов.</w:t>
      </w:r>
    </w:p>
    <w:p w:rsidR="00256FF9" w:rsidRDefault="003E4E8B">
      <w:pPr>
        <w:pStyle w:val="a3"/>
      </w:pPr>
      <w:r>
        <w:t>Гидрохимическая характеристика воды озер г. Томска</w:t>
      </w:r>
    </w:p>
    <w:p w:rsidR="00256FF9" w:rsidRDefault="003E4E8B">
      <w:pPr>
        <w:pStyle w:val="a3"/>
      </w:pPr>
      <w:r>
        <w:t>Т а б л и ц а 3</w:t>
      </w:r>
    </w:p>
    <w:p w:rsidR="00256FF9" w:rsidRDefault="003E4E8B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240"/>
        <w:gridCol w:w="240"/>
        <w:gridCol w:w="480"/>
      </w:tblGrid>
      <w:tr w:rsidR="00256FF9">
        <w:trPr>
          <w:trHeight w:val="195"/>
          <w:tblCellSpacing w:w="0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256FF9" w:rsidRPr="003E4E8B" w:rsidRDefault="003E4E8B">
            <w:pPr>
              <w:pStyle w:val="a3"/>
            </w:pPr>
            <w:r w:rsidRPr="003E4E8B">
              <w:t>Название озера</w:t>
            </w:r>
          </w:p>
          <w:p w:rsidR="00256FF9" w:rsidRPr="003E4E8B" w:rsidRDefault="003E4E8B">
            <w:pPr>
              <w:pStyle w:val="a3"/>
            </w:pPr>
            <w:r w:rsidRPr="003E4E8B">
              <w:t>Химические N. элементы и соединения N.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мкр. Солнечный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Боярское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Песчаное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Университетское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56FF9" w:rsidRDefault="003E4E8B">
            <w:r>
              <w:t>Керепеть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ПДК по ГН 2.1.5.1315-03 [10], ГН 2.1.5.2280-07 [11]</w:t>
            </w:r>
          </w:p>
        </w:tc>
      </w:tr>
      <w:tr w:rsidR="00256FF9">
        <w:trPr>
          <w:trHeight w:val="1785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56FF9" w:rsidRPr="003E4E8B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Align w:val="center"/>
            <w:hideMark/>
          </w:tcPr>
          <w:p w:rsidR="00256FF9" w:rsidRDefault="003E4E8B">
            <w:r>
              <w:t>ул. Усть-Керепеть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ул. Героев-Чубаровцев</w:t>
            </w:r>
          </w:p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</w:tr>
      <w:tr w:rsidR="00256FF9">
        <w:trPr>
          <w:trHeight w:val="19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56FF9" w:rsidRDefault="003E4E8B">
            <w:r>
              <w:t>pH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7,25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6,67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6,69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6,72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7,6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7,6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7,6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7,6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6,9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Не уст.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56FF9" w:rsidRDefault="003E4E8B">
            <w:r>
              <w:t>Минерализация, мг/л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628,1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98,5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250,3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358,2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807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416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365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879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481,9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Не уст.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gridSpan w:val="12"/>
            <w:vAlign w:val="center"/>
            <w:hideMark/>
          </w:tcPr>
          <w:p w:rsidR="00256FF9" w:rsidRDefault="003E4E8B">
            <w:r>
              <w:t>Катионы, мг/л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Аммоний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NHc+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7,0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128,0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1,5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Калий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K+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29,9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16,1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32,2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23,0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63,5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89,5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67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27,6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43,7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6FF9" w:rsidRDefault="003E4E8B">
            <w:r>
              <w:t>Не уст.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Натрий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Na+</w:t>
            </w:r>
          </w:p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  <w:tc>
          <w:tcPr>
            <w:tcW w:w="0" w:type="auto"/>
            <w:vMerge/>
            <w:vAlign w:val="center"/>
            <w:hideMark/>
          </w:tcPr>
          <w:p w:rsidR="00256FF9" w:rsidRDefault="00256FF9"/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Магний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Mg2+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19,2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&lt;2,0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6,0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14,4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4,9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2,44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17,1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24,0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14,4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50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Кальций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Ca2+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100,0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10,0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24,0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148,0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44,0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22,0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124,0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64,0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 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Железо</w:t>
            </w:r>
          </w:p>
        </w:tc>
        <w:tc>
          <w:tcPr>
            <w:tcW w:w="0" w:type="auto"/>
            <w:vAlign w:val="center"/>
            <w:hideMark/>
          </w:tcPr>
          <w:p w:rsidR="00256FF9" w:rsidRPr="003E4E8B" w:rsidRDefault="003E4E8B">
            <w:pPr>
              <w:pStyle w:val="a3"/>
            </w:pPr>
            <w:r w:rsidRPr="003E4E8B">
              <w:t>Л</w:t>
            </w:r>
          </w:p>
          <w:p w:rsidR="00256FF9" w:rsidRPr="003E4E8B" w:rsidRDefault="003E4E8B">
            <w:pPr>
              <w:pStyle w:val="a3"/>
            </w:pPr>
            <w:r w:rsidRPr="003E4E8B">
              <w:t>Ь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0,54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0,44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0,3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gridSpan w:val="12"/>
            <w:vAlign w:val="center"/>
            <w:hideMark/>
          </w:tcPr>
          <w:p w:rsidR="00256FF9" w:rsidRDefault="003E4E8B">
            <w:r>
              <w:t>Анионы, мг/л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Хлорид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Cl-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42,6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14,2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35,0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35,0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39,7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53,9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51,8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67,5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56,8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350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Сульфат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SO42-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500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Гидрокарбонат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HCO3-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408,7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48,8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128,1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219,6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512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195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171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457,5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286,7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Не уст.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Карбонат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СОз2-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&lt;8,0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Не уст.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Нитрит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NO2-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3,3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Нитрат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NO3-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5,2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0,52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1,9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4,8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2,7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45,0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Гидрофосфат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HPO42-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&lt;0,02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Не уст.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gridSpan w:val="12"/>
            <w:vAlign w:val="center"/>
            <w:hideMark/>
          </w:tcPr>
          <w:p w:rsidR="00256FF9" w:rsidRDefault="003E4E8B">
            <w:r>
              <w:t>Микроэлементы, мг/дм3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Алюминий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Al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0,043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0,2-0,5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Кадмий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Cd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0,058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0,058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0,032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0,001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Кобальт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Co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Хром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Cr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0,079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0,079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0,055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0,072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0,05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Медь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Cu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Марганец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Mn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0,042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0,086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0,054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Никель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Ni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Титан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Ti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0,88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0,94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0,042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0,019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0,0063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Ванадий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V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0,0055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0,1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Цинк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Zn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0,3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0,037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0,035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0,28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1</w:t>
            </w:r>
          </w:p>
        </w:tc>
      </w:tr>
      <w:tr w:rsidR="00256FF9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Литий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Li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0,06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0,04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0,027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0,03</w:t>
            </w:r>
          </w:p>
        </w:tc>
      </w:tr>
      <w:tr w:rsidR="00256FF9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256FF9" w:rsidRDefault="003E4E8B">
            <w:r>
              <w:t>Свинец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Pb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0,005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256FF9" w:rsidRDefault="003E4E8B">
            <w:r>
              <w:t>0,01</w:t>
            </w:r>
          </w:p>
        </w:tc>
      </w:tr>
    </w:tbl>
    <w:p w:rsidR="00256FF9" w:rsidRPr="003E4E8B" w:rsidRDefault="003E4E8B">
      <w:pPr>
        <w:pStyle w:val="a3"/>
      </w:pPr>
      <w:r>
        <w:t>Таким образом, оценка экологического состояния озер, перечисленных выше, позволяет сделать следующие выводы: на сегодняшний день ни один из исследуемых водоемов не может использоваться для видов отдыха, чувствительных к качеству воды (купание, рыболовство), развитие водных растений и цветение водоемов создают препятствия для использования рекреационного водного транспорта. Состояние озер усугубляется вследствие их расположения в пределах города, что выражается в росте и скорости процессов, которые в естественных условиях протекали бы медленнее. При этом малые бессточные водоемы, каковыми являются озера г. Томска, концентрируя загрязнения, в силу своих размеров не успевают самоочищаться, превращаясь в своеобразные отстойники.</w:t>
      </w:r>
    </w:p>
    <w:p w:rsidR="00256FF9" w:rsidRDefault="003E4E8B">
      <w:pPr>
        <w:pStyle w:val="a3"/>
      </w:pPr>
      <w:r>
        <w:t>Независимо от факторов, ограничивающих рекреацию, четыре озера в теплый период года используются горожанами для кратковременного и повседневного неорганизованного отдыха. На побережьях оз. Мавлю- кеевского и озера Ботанического сада с весны до поздней осени устраиваются пикники, совершаются пешие прогулки; для купания в летний период используются озера Песчаное (Тимирязево) и Боярское. Подобный неорганизованный отдых наносит большой ущерб природным комплексам, изменяет видовое разнообразие прибрежной растительности, влияет на состав и структуру животного мира и, в совокупности с неблагоприятным экологическим состоянием, значительно уменьшает привлекательность водоемов для человека.</w:t>
      </w:r>
    </w:p>
    <w:p w:rsidR="00256FF9" w:rsidRDefault="003E4E8B">
      <w:pPr>
        <w:pStyle w:val="a3"/>
      </w:pPr>
      <w:r>
        <w:t>Однако, несмотря на современное состояние, озера г. Томска обладают значительным рекреационным потенциалом. Наиболее перспективными для организации небольших пляжных зон с точки зрения ландшафтной структуры являются побережья озер Боярского, Мавлюкеевского, Ботанического сада, Песчаного (Тимирязево), системы водоемов Кривое - Песчаное, занятые природными и природно-антропогенными ландшафтами. Отсутствие опасных процессов (оползней, обвалов) по берегам, безопасный рельеф прибрежных зон, возможность устройства удобных и безопасных подходов к воде, являющиеся основными требованиями, предъявляемыми к зонам рекреации водных объектов [12], делают возможным создание на озерных побережьях площадок для принятия воздушных ванн, спортивных игр, мест для пикников, организацию дорожек и троп для пеших прогулок.</w:t>
      </w:r>
    </w:p>
    <w:p w:rsidR="00256FF9" w:rsidRDefault="003E4E8B">
      <w:pPr>
        <w:pStyle w:val="a3"/>
      </w:pPr>
      <w:r>
        <w:t>При ликвидации существующих на побережьях мусорных свалок и благоустройстве прибрежных территорий озера Керепеть, Зыряновское, Ереневское, водоемы в пос. Степановка и мкр. Солнечный, наряду с вышеуказанными водоемами, могут использоваться для прогулок на малых весельных судах и катамаранах. Озера Университетское и Мавлюкеевское, расположенные близ учебных корпусов Томского госуниверси- тета (№ 4 и 6 соответственно), могут стать основой для создания студенческих зон отдыха. Доведение качества воды в озерах до необходимых санитарных норм значительно увеличит их рекреационный потенциал, т. к. позволит развиваться видам отдыха, связанным непосредственными контактами с водной средой (купание, любительское рыболовство).</w:t>
      </w:r>
    </w:p>
    <w:p w:rsidR="00256FF9" w:rsidRDefault="003E4E8B">
      <w:pPr>
        <w:pStyle w:val="a3"/>
      </w:pPr>
      <w:r>
        <w:t>Таким образом, поведенные исследования показывают, что небольшие по площади томские озера могут играть первостепенную роль в организации кратковременного отдыха населения. Возможность разнообразить отдых, эстетическое воздействие ландшафтов и смена впечатлений наделяют территории, расположенные около водоемов, значительной рекреационной привлекательностью. Поэтому наличие в городе водоемов значительно повышает рекреационный потенциал урбанизированной территории в целом. Плановая очистка водоемов и поддержание их экологического состояния, совместно с благоустройством приозерных территорий, не только повысит аттрактивность озерных геосистем, но и позволит обеспечить длительное и устойчивое функционирование водоемов, что в целом будет способствовать улучшению и оздоровлению окружающей среды.</w:t>
      </w:r>
    </w:p>
    <w:p w:rsidR="00256FF9" w:rsidRDefault="003E4E8B">
      <w:pPr>
        <w:pStyle w:val="a3"/>
      </w:pPr>
      <w:r>
        <w:t>Список литературы</w:t>
      </w:r>
    </w:p>
    <w:p w:rsidR="00256FF9" w:rsidRDefault="003E4E8B">
      <w:pPr>
        <w:pStyle w:val="a3"/>
      </w:pPr>
      <w:r>
        <w:t>ПрытковаМ.Я. Научные основы и методы восстановления озерных экосистем при разных видах антропогенного воздействия. СПб.: Наука, 147 с.</w:t>
      </w:r>
    </w:p>
    <w:p w:rsidR="00256FF9" w:rsidRDefault="003E4E8B">
      <w:pPr>
        <w:pStyle w:val="a3"/>
      </w:pPr>
      <w:r>
        <w:t>Орехов Г.В. Водные объекты на урбанизированных территориях и инженерные системы замкнутого водооборота // Экология урбанизиро ванных территорий. 2008. № 2. С. 88-93.</w:t>
      </w:r>
    </w:p>
    <w:p w:rsidR="00256FF9" w:rsidRDefault="003E4E8B">
      <w:pPr>
        <w:pStyle w:val="a3"/>
      </w:pPr>
      <w:r>
        <w:t>Генеральный план муниципального образования «Город Томск». Пояснительная записка. Т. 2: Обосновывающие материалы. СПб.; Томск, 2006. 186 с.</w:t>
      </w:r>
    </w:p>
    <w:p w:rsidR="00256FF9" w:rsidRDefault="003E4E8B">
      <w:pPr>
        <w:pStyle w:val="a3"/>
      </w:pPr>
      <w:r>
        <w:t>СНиП 2.07.01-89* Градостроительство. Планировка и застройка городских и сельских поселений. М., 1994. 68 с.</w:t>
      </w:r>
    </w:p>
    <w:p w:rsidR="00256FF9" w:rsidRDefault="003E4E8B">
      <w:pPr>
        <w:pStyle w:val="a3"/>
      </w:pPr>
      <w:r>
        <w:t>Генеральный план муниципального образования «Город Томск». Положение о территориальном планировании. Приложение № 1 к решению</w:t>
      </w:r>
    </w:p>
    <w:p w:rsidR="00256FF9" w:rsidRDefault="003E4E8B">
      <w:pPr>
        <w:pStyle w:val="a3"/>
      </w:pPr>
      <w:r>
        <w:t>Думы города Томска от 27.11.2007 № 687. СПб.; Томск, 2006. 99 с.</w:t>
      </w:r>
    </w:p>
    <w:p w:rsidR="00256FF9" w:rsidRDefault="003E4E8B">
      <w:pPr>
        <w:pStyle w:val="a3"/>
      </w:pPr>
      <w:r>
        <w:t>Таран М.В., Евсеева Н.С. Озеро Песчаное и его окрестности как объект физико-географической практики // Вопросы географии Сибири.</w:t>
      </w:r>
    </w:p>
    <w:p w:rsidR="00256FF9" w:rsidRDefault="003E4E8B">
      <w:pPr>
        <w:pStyle w:val="a3"/>
      </w:pPr>
      <w:r>
        <w:t>Томск, 1997. Вып. 22. С. 157-161.</w:t>
      </w:r>
    </w:p>
    <w:p w:rsidR="00256FF9" w:rsidRDefault="003E4E8B">
      <w:pPr>
        <w:pStyle w:val="a3"/>
      </w:pPr>
      <w:r>
        <w:t>Иоганзен Б.Г. Водоемы окрестностей города Томска. Томск, 1951. 69 с.</w:t>
      </w:r>
    </w:p>
    <w:p w:rsidR="00256FF9" w:rsidRDefault="003E4E8B">
      <w:pPr>
        <w:pStyle w:val="a3"/>
      </w:pPr>
      <w:r>
        <w:t>Прыгунова О.А. Оценка экологического состояния некоторых озер города Томска // Проблемы геологии и освоения недр: Труды 8-го симпо зиума. Томск, 2004. С. 350-352.</w:t>
      </w:r>
    </w:p>
    <w:p w:rsidR="00256FF9" w:rsidRDefault="003E4E8B">
      <w:pPr>
        <w:pStyle w:val="a3"/>
      </w:pPr>
      <w:r>
        <w:t>Санитарные правила и нормы СанПиН 2.1.5.980-00 Гигиенические требования к охране поверхностных вод. М., 2000. 11 с.</w:t>
      </w:r>
    </w:p>
    <w:p w:rsidR="00256FF9" w:rsidRDefault="003E4E8B">
      <w:pPr>
        <w:pStyle w:val="a3"/>
      </w:pPr>
      <w:r>
        <w:t>Гигиенические нормативы ГН 2.1.5.1315-03 Предельно допустимые концентрации (ПДК) химических веществ в воде водных объектов хозяйственно-питьевого и культурно-бытового водопользования. М., 2003. 93 с.</w:t>
      </w:r>
    </w:p>
    <w:p w:rsidR="00256FF9" w:rsidRDefault="003E4E8B">
      <w:pPr>
        <w:pStyle w:val="a3"/>
      </w:pPr>
      <w:r>
        <w:t>Гигиенические нормативы ГН 2.1.5.2280-07 Дополнения и изменения № 1 к гигиеническим нормативам «Предельно допустимые концентрации</w:t>
      </w:r>
    </w:p>
    <w:p w:rsidR="00256FF9" w:rsidRDefault="003E4E8B">
      <w:pPr>
        <w:pStyle w:val="a3"/>
      </w:pPr>
      <w:r>
        <w:t>(ПДК) химических веществ в воде водных объектов хозяйственно-питьевого и культурно-бытового водопользования». М., 2007. 5 с.</w:t>
      </w:r>
    </w:p>
    <w:p w:rsidR="00256FF9" w:rsidRDefault="003E4E8B">
      <w:pPr>
        <w:pStyle w:val="a3"/>
      </w:pPr>
      <w:r>
        <w:t>Государственный стандарт ГОСТ 17.1.5.02 - 80. Гигиенические требования к зонам рекреации водных объектов. М., 2004. 6 с.</w:t>
      </w:r>
      <w:bookmarkStart w:id="0" w:name="_GoBack"/>
      <w:bookmarkEnd w:id="0"/>
    </w:p>
    <w:sectPr w:rsidR="00256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E8B"/>
    <w:rsid w:val="00256FF9"/>
    <w:rsid w:val="003A7026"/>
    <w:rsid w:val="003E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44CB0-CC35-46F3-8F8F-64756CEF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2545</Words>
  <Characters>14509</Characters>
  <Application>Microsoft Office Word</Application>
  <DocSecurity>0</DocSecurity>
  <Lines>120</Lines>
  <Paragraphs>34</Paragraphs>
  <ScaleCrop>false</ScaleCrop>
  <Company>diakov.net</Company>
  <LinksUpToDate>false</LinksUpToDate>
  <CharactersWithSpaces>17020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экологического состояния водных объектов на рекреационный потенциал городской территории (на примере г. Томска)</dc:title>
  <dc:subject/>
  <dc:creator>Irina</dc:creator>
  <cp:keywords/>
  <dc:description/>
  <cp:lastModifiedBy>Irina</cp:lastModifiedBy>
  <cp:revision>2</cp:revision>
  <dcterms:created xsi:type="dcterms:W3CDTF">2014-08-02T19:33:00Z</dcterms:created>
  <dcterms:modified xsi:type="dcterms:W3CDTF">2014-08-02T19:33:00Z</dcterms:modified>
</cp:coreProperties>
</file>