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E0870" w:rsidRDefault="00FE0870">
      <w:pPr>
        <w:widowControl w:val="0"/>
        <w:spacing w:before="120"/>
        <w:jc w:val="center"/>
        <w:rPr>
          <w:b/>
          <w:bCs/>
          <w:color w:val="000000"/>
          <w:sz w:val="32"/>
          <w:szCs w:val="32"/>
        </w:rPr>
      </w:pPr>
      <w:r>
        <w:rPr>
          <w:b/>
          <w:bCs/>
          <w:color w:val="000000"/>
          <w:sz w:val="32"/>
          <w:szCs w:val="32"/>
        </w:rPr>
        <w:t>Финансово-промышленные группы: финансовые аспекты, состояние и перспективы</w:t>
      </w:r>
    </w:p>
    <w:p w:rsidR="00FE0870" w:rsidRDefault="00FE0870">
      <w:pPr>
        <w:widowControl w:val="0"/>
        <w:spacing w:before="120"/>
        <w:jc w:val="center"/>
        <w:rPr>
          <w:color w:val="000000"/>
          <w:sz w:val="28"/>
          <w:szCs w:val="28"/>
        </w:rPr>
      </w:pPr>
      <w:r>
        <w:rPr>
          <w:color w:val="000000"/>
          <w:sz w:val="28"/>
          <w:szCs w:val="28"/>
        </w:rPr>
        <w:t>Реферат подготовил студент группы У2-2 Львов Н.Л.</w:t>
      </w:r>
    </w:p>
    <w:p w:rsidR="00FE0870" w:rsidRDefault="00FE0870">
      <w:pPr>
        <w:widowControl w:val="0"/>
        <w:spacing w:before="120"/>
        <w:jc w:val="center"/>
        <w:rPr>
          <w:color w:val="000000"/>
          <w:sz w:val="28"/>
          <w:szCs w:val="28"/>
        </w:rPr>
      </w:pPr>
      <w:r>
        <w:rPr>
          <w:color w:val="000000"/>
          <w:sz w:val="28"/>
          <w:szCs w:val="28"/>
        </w:rPr>
        <w:t>Финансовая академия при правительстве РФ</w:t>
      </w:r>
    </w:p>
    <w:p w:rsidR="00FE0870" w:rsidRDefault="00FE0870">
      <w:pPr>
        <w:widowControl w:val="0"/>
        <w:spacing w:before="120"/>
        <w:jc w:val="center"/>
        <w:rPr>
          <w:color w:val="000000"/>
          <w:sz w:val="28"/>
          <w:szCs w:val="28"/>
        </w:rPr>
      </w:pPr>
      <w:r>
        <w:rPr>
          <w:color w:val="000000"/>
          <w:sz w:val="28"/>
          <w:szCs w:val="28"/>
        </w:rPr>
        <w:t xml:space="preserve">Кафедра финансов </w:t>
      </w:r>
    </w:p>
    <w:p w:rsidR="00FE0870" w:rsidRDefault="00FE0870">
      <w:pPr>
        <w:widowControl w:val="0"/>
        <w:spacing w:before="120"/>
        <w:jc w:val="center"/>
        <w:rPr>
          <w:color w:val="000000"/>
          <w:sz w:val="28"/>
          <w:szCs w:val="28"/>
        </w:rPr>
      </w:pPr>
      <w:r>
        <w:rPr>
          <w:color w:val="000000"/>
          <w:sz w:val="28"/>
          <w:szCs w:val="28"/>
        </w:rPr>
        <w:t>МОСКВА 1998</w:t>
      </w:r>
    </w:p>
    <w:p w:rsidR="00FE0870" w:rsidRDefault="00FE0870">
      <w:pPr>
        <w:widowControl w:val="0"/>
        <w:spacing w:before="120"/>
        <w:ind w:firstLine="567"/>
        <w:jc w:val="both"/>
        <w:rPr>
          <w:color w:val="000000"/>
          <w:sz w:val="24"/>
          <w:szCs w:val="24"/>
        </w:rPr>
      </w:pPr>
      <w:r>
        <w:rPr>
          <w:color w:val="000000"/>
          <w:sz w:val="24"/>
          <w:szCs w:val="24"/>
        </w:rPr>
        <w:t xml:space="preserve">В условиях, когда рыночная среда еще не сформировалась, когда практически невозможно оценить экономическую эффективность проектов и связей, движущими силами объединительных процессов выступают стремление к стабильности связей и повышению собственной значимости в экономике, обеспечивающей выживание как за счет взаимной поддержки членов объединения, так и за счет вынужденной помощи государства. Вследствие этого объединительные тенденции российских предприятий зачастую слабо обоснованы с экономической точки зрения и представляют собой искусственные, политические образования. </w:t>
      </w:r>
    </w:p>
    <w:p w:rsidR="00FE0870" w:rsidRDefault="00FE0870">
      <w:pPr>
        <w:widowControl w:val="0"/>
        <w:spacing w:before="120"/>
        <w:ind w:firstLine="567"/>
        <w:jc w:val="both"/>
        <w:rPr>
          <w:color w:val="000000"/>
          <w:sz w:val="24"/>
          <w:szCs w:val="24"/>
        </w:rPr>
      </w:pPr>
      <w:r>
        <w:rPr>
          <w:color w:val="000000"/>
          <w:sz w:val="24"/>
          <w:szCs w:val="24"/>
        </w:rPr>
        <w:t xml:space="preserve">Первым нормативным актом по данному вопросу стал Указ Президента РФ 2096 от 5 декабря 1993г. О создании финансово-промышленных групп в Российской Федерации. Реальной целью данного указа была попытка блокирования процесса формирования ФПГ в ходе массовой приватизации, т.е. фактически спонтанно-номенклатурного перераспределения имущества. Формально отвечая интересам номенклатуры и крупнейших отраслевых и финансовых лоббистов, этот указ был ответом на предложенную в августе 1993г. схему создания в России 100 гигантских ФПГ, охватывающих большинство предприятий промышленности и добывающих отраслей. </w:t>
      </w:r>
    </w:p>
    <w:p w:rsidR="00FE0870" w:rsidRDefault="00FE0870">
      <w:pPr>
        <w:widowControl w:val="0"/>
        <w:spacing w:before="120"/>
        <w:ind w:firstLine="567"/>
        <w:jc w:val="both"/>
        <w:rPr>
          <w:color w:val="000000"/>
          <w:sz w:val="24"/>
          <w:szCs w:val="24"/>
        </w:rPr>
      </w:pPr>
      <w:r>
        <w:rPr>
          <w:color w:val="000000"/>
          <w:sz w:val="24"/>
          <w:szCs w:val="24"/>
        </w:rPr>
        <w:t xml:space="preserve">В настоящее время деятельность ФПГ регулируется Законом РФ О финансово-промышленных групах( подписан Президентом РФ 30 ноября 1995г. ). Согласно ст. 2 этого Закона, ФПГ - это совокупность юридических лиц, действующих как основное и дочерние общества полностью или частично объединивших свои материальные и нематериальные активы (система участия) на основе договора о создании ФПГ. Допускается участие только в одной официально зарегистрированной в Государственном реестре ФПГ. Дочерние общества вправе входить в ФПГ только с основными обществами. Ключевым понятием закона является центральная компания ФПГ, которая может быть инвестиционным институтом (как правило), хозяйственным обществом, ассоциацией или союзом. Два способа ее учреждения участниками ФПГ обусловливают и две возможных модели ФПГ: </w:t>
      </w:r>
    </w:p>
    <w:p w:rsidR="00FE0870" w:rsidRDefault="00FE0870">
      <w:pPr>
        <w:widowControl w:val="0"/>
        <w:spacing w:before="120"/>
        <w:ind w:firstLine="567"/>
        <w:jc w:val="both"/>
        <w:rPr>
          <w:color w:val="000000"/>
          <w:sz w:val="24"/>
          <w:szCs w:val="24"/>
        </w:rPr>
      </w:pPr>
      <w:r>
        <w:rPr>
          <w:color w:val="000000"/>
          <w:sz w:val="24"/>
          <w:szCs w:val="24"/>
        </w:rPr>
        <w:t xml:space="preserve">1) холдинговая модель (центральная компания - дочерние общества), которая наиболее типична для схем, создаваемых коммерческими банками (их дочерними инвестиционными компаниями); </w:t>
      </w:r>
    </w:p>
    <w:p w:rsidR="00FE0870" w:rsidRDefault="00FE0870">
      <w:pPr>
        <w:widowControl w:val="0"/>
        <w:spacing w:before="120"/>
        <w:ind w:firstLine="567"/>
        <w:jc w:val="both"/>
        <w:rPr>
          <w:color w:val="000000"/>
          <w:sz w:val="24"/>
          <w:szCs w:val="24"/>
        </w:rPr>
      </w:pPr>
      <w:r>
        <w:rPr>
          <w:color w:val="000000"/>
          <w:sz w:val="24"/>
          <w:szCs w:val="24"/>
        </w:rPr>
        <w:t xml:space="preserve">2) учреждение центральной компании всеми участниками ФПГ, подписавшими соответствующий договор (система участий). </w:t>
      </w:r>
    </w:p>
    <w:p w:rsidR="00FE0870" w:rsidRDefault="00FE0870">
      <w:pPr>
        <w:widowControl w:val="0"/>
        <w:spacing w:before="120"/>
        <w:ind w:firstLine="567"/>
        <w:jc w:val="both"/>
        <w:rPr>
          <w:color w:val="000000"/>
          <w:sz w:val="24"/>
          <w:szCs w:val="24"/>
        </w:rPr>
      </w:pPr>
      <w:r>
        <w:rPr>
          <w:color w:val="000000"/>
          <w:sz w:val="24"/>
          <w:szCs w:val="24"/>
        </w:rPr>
        <w:t xml:space="preserve">Важно принять во внимание и Указ Президента РФ 443 от 1 апреля 1996г. О мерах по стимулированию создания и деятельности финансово-промышленных групп. Согласно этому документу, предусмотрены: 1) передача в доверительное управление центральным компаниям ФПГ федеральных пакетов акций; 2) право унитарным предприятиям вносить недвижимое имущество в виде вкладов в уставный капитал центральных компаний ФПГ, сдавать его в аренду и залог. Очевидны политические (предвыборные) мотивы выпуска данного документа. </w:t>
      </w:r>
    </w:p>
    <w:p w:rsidR="00FE0870" w:rsidRDefault="00FE0870">
      <w:pPr>
        <w:widowControl w:val="0"/>
        <w:spacing w:before="120"/>
        <w:ind w:firstLine="567"/>
        <w:jc w:val="both"/>
        <w:rPr>
          <w:color w:val="000000"/>
          <w:sz w:val="24"/>
          <w:szCs w:val="24"/>
        </w:rPr>
      </w:pPr>
      <w:r>
        <w:rPr>
          <w:color w:val="000000"/>
          <w:sz w:val="24"/>
          <w:szCs w:val="24"/>
        </w:rPr>
        <w:t xml:space="preserve">По данным Государственного реестра ФПГ, к 1 января 1997г. статус ФПГ получили 46 групп (табл. 4.5). В их состав входит около 700 предприятий и 90 кредитно-финансовых учреждений, в том числе 50 банков. Общая численность занятых составила 3млн. человек, совокупный годовой (за 1996г.) оборот продукции - около 90 трлн. рублей. </w:t>
      </w:r>
    </w:p>
    <w:p w:rsidR="00FE0870" w:rsidRDefault="00FE0870">
      <w:pPr>
        <w:widowControl w:val="0"/>
        <w:spacing w:before="120"/>
        <w:ind w:firstLine="567"/>
        <w:jc w:val="both"/>
        <w:rPr>
          <w:color w:val="000000"/>
          <w:sz w:val="24"/>
          <w:szCs w:val="24"/>
        </w:rPr>
      </w:pPr>
      <w:r>
        <w:rPr>
          <w:color w:val="000000"/>
          <w:sz w:val="24"/>
          <w:szCs w:val="24"/>
        </w:rPr>
        <w:t xml:space="preserve">Предположительно в настоящее время в России насчитывается около 150 объединений хозяйственных единиц, которые по формальным признакам могли бы претендовать на такое юридическое оформление. Целый ряд таких объединений представляет собой промышленные холдинги, созданные коммерческими банками или частными торговыми компаниями. Типичным примером являются российские нефтяные компании. Вместе с тем отнюдь не каждое объединение предприятий стремится получить официальный статус ФПГ. Во многих случаях это объясняется тем, что сам по себе юридический статус ФПГ не гарантирует получения государственной поддержки и льгот. Получение последних зависит не столько от статуса ФПГ, сколько от собственной лоббистской мощи объединения предприятий (его ядра или инициатора) вне зависимости от статуса объединения. </w:t>
      </w:r>
    </w:p>
    <w:p w:rsidR="00FE0870" w:rsidRDefault="00FE0870">
      <w:pPr>
        <w:widowControl w:val="0"/>
        <w:spacing w:before="120"/>
        <w:ind w:firstLine="567"/>
        <w:jc w:val="both"/>
        <w:rPr>
          <w:color w:val="000000"/>
          <w:sz w:val="24"/>
          <w:szCs w:val="24"/>
        </w:rPr>
      </w:pPr>
      <w:r>
        <w:rPr>
          <w:color w:val="000000"/>
          <w:sz w:val="24"/>
          <w:szCs w:val="24"/>
        </w:rPr>
        <w:t xml:space="preserve">Механизмы общего (взаимного) управления и контроля предприятий, участвующих в ФПГ, не представляются достаточно действенными. Малообоснованны и надежды на облегченное получение инвестиционных средств от входящих в ФПГ финансовых институтов (прежде всего от коммерческих банков, который многими экспертами рассматриваются как структурообразующий элемент ФПГ), поскольку банки вряд ли будут инвестировать в невыгодные проекты, подчиняясь внутригрупповой дисциплине. Наиболее распространенная причина создания ФПГ заключается в упорядочении лоббистской деятельности и предоставлении государственных льгот. Совершенно очевидно при этом, что, несмотря на попытки учета антимонопольного законодательства, многие создаваемые ФПГ усиливают монопольный характер российской экономики, прежде всего монопольное поведение предприятий на формирующихся рынках. </w:t>
      </w:r>
    </w:p>
    <w:p w:rsidR="00FE0870" w:rsidRDefault="00FE0870">
      <w:pPr>
        <w:widowControl w:val="0"/>
        <w:spacing w:before="120"/>
        <w:ind w:firstLine="567"/>
        <w:jc w:val="both"/>
        <w:rPr>
          <w:color w:val="000000"/>
          <w:sz w:val="24"/>
          <w:szCs w:val="24"/>
        </w:rPr>
      </w:pPr>
      <w:r>
        <w:rPr>
          <w:color w:val="000000"/>
          <w:sz w:val="24"/>
          <w:szCs w:val="24"/>
        </w:rPr>
        <w:t xml:space="preserve">Следует учитывать также, что технологический фактор и фактор экономии на трансакционных издержках при интеграции предприятий действительны преимущественно в случае вертикальной интеграции. Но как раз такие случаи при создании ФПГ почти не встречаются (если не считать концерны типа ЛУКойл формально не зарегистрированные маркой ФПГ). Горизонтальная (отраслевая) интеграция свидетельствует прежде всего о монопольном поведении (или устремлении) ее участников. Большинство же ФПГ пытаются и, видимо, будут пытаться создавать исключительно диверсифицированные образования, объединяющие ряд мощных, но малосвязанных предприятий. </w:t>
      </w:r>
    </w:p>
    <w:p w:rsidR="00FE0870" w:rsidRDefault="00FE0870">
      <w:pPr>
        <w:widowControl w:val="0"/>
        <w:spacing w:before="120"/>
        <w:ind w:firstLine="567"/>
        <w:jc w:val="both"/>
        <w:rPr>
          <w:color w:val="000000"/>
          <w:sz w:val="24"/>
          <w:szCs w:val="24"/>
        </w:rPr>
      </w:pPr>
      <w:r>
        <w:rPr>
          <w:color w:val="000000"/>
          <w:sz w:val="24"/>
          <w:szCs w:val="24"/>
        </w:rPr>
        <w:t xml:space="preserve">Просматриваются и попытки предотвратить контроль внешних акционеров путем более жесткой иерархической организации в рамках уже имеющихся ассоциаций и концернов под видом ФПГ. Предприятия-участники таких ФПГ имеют собственные отраслевые банки и не намерены тесно взаимодействовать с чужими финансовыми структурами, чтобы не попасть под их контроль. Приватизация здесь также носит замкнутый характер. Эти меры не только препятствуют развитию конкурентых отношений, переливам капиталов с целью более рационального размещения последнего, но и консервируют старую структуру производства отрасли, мешает структурной перестройке в экономике в целом. </w:t>
      </w:r>
    </w:p>
    <w:p w:rsidR="00FE0870" w:rsidRDefault="00FE0870">
      <w:pPr>
        <w:widowControl w:val="0"/>
        <w:spacing w:before="120"/>
        <w:ind w:firstLine="567"/>
        <w:jc w:val="both"/>
        <w:rPr>
          <w:color w:val="000000"/>
          <w:sz w:val="24"/>
          <w:szCs w:val="24"/>
        </w:rPr>
      </w:pPr>
      <w:r>
        <w:rPr>
          <w:color w:val="000000"/>
          <w:sz w:val="24"/>
          <w:szCs w:val="24"/>
        </w:rPr>
        <w:t xml:space="preserve">В настоящее время, по оценкам Минэкономики РФ, отмечаются следующие трудности в функционировании ФПГ: </w:t>
      </w:r>
    </w:p>
    <w:p w:rsidR="00FE0870" w:rsidRDefault="00FE0870">
      <w:pPr>
        <w:widowControl w:val="0"/>
        <w:spacing w:before="120"/>
        <w:ind w:firstLine="567"/>
        <w:jc w:val="both"/>
        <w:rPr>
          <w:color w:val="000000"/>
          <w:sz w:val="24"/>
          <w:szCs w:val="24"/>
        </w:rPr>
      </w:pPr>
      <w:r>
        <w:rPr>
          <w:color w:val="000000"/>
          <w:sz w:val="24"/>
          <w:szCs w:val="24"/>
        </w:rPr>
        <w:t xml:space="preserve">- не решена проблема консолидации собственности в центральной компании (внесение в уставный капитал центральной компании, как правило, незначительной доли активов участников ФПГ ведет к формированию лоббирующих ассоциаций, а не к концентрации финансового и промышленного капиталов); </w:t>
      </w:r>
    </w:p>
    <w:p w:rsidR="00FE0870" w:rsidRDefault="00FE0870">
      <w:pPr>
        <w:widowControl w:val="0"/>
        <w:spacing w:before="120"/>
        <w:ind w:firstLine="567"/>
        <w:jc w:val="both"/>
        <w:rPr>
          <w:color w:val="000000"/>
          <w:sz w:val="24"/>
          <w:szCs w:val="24"/>
        </w:rPr>
      </w:pPr>
      <w:r>
        <w:rPr>
          <w:color w:val="000000"/>
          <w:sz w:val="24"/>
          <w:szCs w:val="24"/>
        </w:rPr>
        <w:t xml:space="preserve">- минимальный интерес банков к реализации инвестиционных проектов в ФПГ; </w:t>
      </w:r>
    </w:p>
    <w:p w:rsidR="00FE0870" w:rsidRDefault="00FE0870">
      <w:pPr>
        <w:widowControl w:val="0"/>
        <w:spacing w:before="120"/>
        <w:ind w:firstLine="567"/>
        <w:jc w:val="both"/>
        <w:rPr>
          <w:color w:val="000000"/>
          <w:sz w:val="24"/>
          <w:szCs w:val="24"/>
        </w:rPr>
      </w:pPr>
      <w:r>
        <w:rPr>
          <w:color w:val="000000"/>
          <w:sz w:val="24"/>
          <w:szCs w:val="24"/>
        </w:rPr>
        <w:t xml:space="preserve">- противоречие между завышенной (при создании) оценкой возможностей ФПГ и реальными трудностями функционирования. </w:t>
      </w:r>
    </w:p>
    <w:p w:rsidR="00FE0870" w:rsidRDefault="00FE0870">
      <w:pPr>
        <w:widowControl w:val="0"/>
        <w:spacing w:before="120"/>
        <w:ind w:firstLine="567"/>
        <w:jc w:val="both"/>
        <w:rPr>
          <w:color w:val="000000"/>
          <w:sz w:val="24"/>
          <w:szCs w:val="24"/>
        </w:rPr>
      </w:pPr>
      <w:r>
        <w:rPr>
          <w:color w:val="000000"/>
          <w:sz w:val="24"/>
          <w:szCs w:val="24"/>
        </w:rPr>
        <w:t xml:space="preserve">В целом, по имеющимся оценкам, в перспективе возможно появление 10-20 особо мощных универсальных финансово-промышленных групп, 100-150 крупных групп, сопоставимых по размерам с зарубежными аналогами и обеспечивающих более 50% промышленного производства. Проблема, тем не менее, заключается не в наращивании количественных покзателей. В самом широком плане речь идет сегодня о глобальных путях развития организационно-управленческой структуры российской экономики. Хотя наиболее вероятен некий традиционно промежуточный вариант, выделим два полярных: </w:t>
      </w:r>
    </w:p>
    <w:p w:rsidR="00FE0870" w:rsidRDefault="00FE0870">
      <w:pPr>
        <w:widowControl w:val="0"/>
        <w:spacing w:before="120"/>
        <w:ind w:firstLine="567"/>
        <w:jc w:val="both"/>
        <w:rPr>
          <w:color w:val="000000"/>
          <w:sz w:val="24"/>
          <w:szCs w:val="24"/>
        </w:rPr>
      </w:pPr>
      <w:r>
        <w:rPr>
          <w:color w:val="000000"/>
          <w:sz w:val="24"/>
          <w:szCs w:val="24"/>
        </w:rPr>
        <w:t>- либо это будут действительно эффективные объединения различных типов хозяйственных единиц, которые:</w:t>
      </w:r>
    </w:p>
    <w:p w:rsidR="00FE0870" w:rsidRDefault="00FE0870">
      <w:pPr>
        <w:widowControl w:val="0"/>
        <w:spacing w:before="120"/>
        <w:ind w:firstLine="567"/>
        <w:jc w:val="both"/>
        <w:rPr>
          <w:color w:val="000000"/>
          <w:sz w:val="24"/>
          <w:szCs w:val="24"/>
        </w:rPr>
      </w:pPr>
      <w:r>
        <w:rPr>
          <w:color w:val="000000"/>
          <w:sz w:val="24"/>
          <w:szCs w:val="24"/>
        </w:rPr>
        <w:t xml:space="preserve">а) созданы добровольно или на снове слияний и поглощений, </w:t>
      </w:r>
    </w:p>
    <w:p w:rsidR="00FE0870" w:rsidRDefault="00FE0870">
      <w:pPr>
        <w:widowControl w:val="0"/>
        <w:spacing w:before="120"/>
        <w:ind w:firstLine="567"/>
        <w:jc w:val="both"/>
        <w:rPr>
          <w:color w:val="000000"/>
          <w:sz w:val="24"/>
          <w:szCs w:val="24"/>
        </w:rPr>
      </w:pPr>
      <w:r>
        <w:rPr>
          <w:color w:val="000000"/>
          <w:sz w:val="24"/>
          <w:szCs w:val="24"/>
        </w:rPr>
        <w:t xml:space="preserve">б) основаны на действительно эффективном управлении своей собственностью (пакетами акций), </w:t>
      </w:r>
    </w:p>
    <w:p w:rsidR="00FE0870" w:rsidRDefault="00FE0870">
      <w:pPr>
        <w:widowControl w:val="0"/>
        <w:spacing w:before="120"/>
        <w:ind w:firstLine="567"/>
        <w:jc w:val="both"/>
        <w:rPr>
          <w:color w:val="000000"/>
          <w:sz w:val="24"/>
          <w:szCs w:val="24"/>
        </w:rPr>
      </w:pPr>
      <w:r>
        <w:rPr>
          <w:color w:val="000000"/>
          <w:sz w:val="24"/>
          <w:szCs w:val="24"/>
        </w:rPr>
        <w:t xml:space="preserve">в) ориентированы на минимизацию издержек и максимизацию дохода на основе собственной совокупной деятельности в условиях цивилизованного рынка; </w:t>
      </w:r>
    </w:p>
    <w:p w:rsidR="00FE0870" w:rsidRDefault="00FE0870">
      <w:pPr>
        <w:widowControl w:val="0"/>
        <w:spacing w:before="120"/>
        <w:ind w:firstLine="567"/>
        <w:jc w:val="both"/>
        <w:rPr>
          <w:color w:val="000000"/>
          <w:sz w:val="24"/>
          <w:szCs w:val="24"/>
        </w:rPr>
      </w:pPr>
      <w:r>
        <w:rPr>
          <w:color w:val="000000"/>
          <w:sz w:val="24"/>
          <w:szCs w:val="24"/>
        </w:rPr>
        <w:t>- либо в ближайшие несколько лет в России будут сформированы несколько десятков гигантских конгломератов и отраслевых монополий, ориентированных на особые отношения с государством и функционирующих за счет этого. Последнее может означать и реанимацию в новых условиях специфической модели централизованного управления экономикой.</w:t>
      </w:r>
    </w:p>
    <w:p w:rsidR="00FE0870" w:rsidRDefault="00FE0870">
      <w:pPr>
        <w:widowControl w:val="0"/>
        <w:spacing w:before="120"/>
        <w:ind w:firstLine="567"/>
        <w:jc w:val="both"/>
        <w:rPr>
          <w:color w:val="000000"/>
          <w:sz w:val="24"/>
          <w:szCs w:val="24"/>
        </w:rPr>
      </w:pPr>
      <w:r>
        <w:rPr>
          <w:color w:val="000000"/>
          <w:sz w:val="24"/>
          <w:szCs w:val="24"/>
        </w:rPr>
        <w:t xml:space="preserve">Необходимость объединения финансовых и иных активов ставит перед ФПГ ряд вопросов в области финансовой отчетности.  Высокая степень объединения активов участников вплоть до их слияния в конечном итоге приведет к тому, что консолидированный баланс группы будет полностью включать в себя балансы всех ее участников. Между тем структура баланса коммерческого банка совершенно отлична от структуры балансов иных участников финансового рынка, также имеющих право участия в ФПГ, например пенсионных фондов, не говоря уже о балансах торговых и промышленных предприятий. Следовательно, любой участник ФПГ должен вести отдельный от ФПГ баланс в отношении части собственных ресурсов, используемых вне деятельности ФПГ.  Определение принципов ведения консолидированного баланса может иметь решающее значение для всей финансовой организации деятельности ФПГ, поскольку без консолидации баланса невозможно  признание участников ФПГ консолидированной группой налогоплательщиков,  открывающее значительные возможности по свободному маневрированию собственными ресурсами и снижению себестоимости конечного продукта. </w:t>
      </w:r>
    </w:p>
    <w:p w:rsidR="00FE0870" w:rsidRDefault="00FE0870">
      <w:pPr>
        <w:widowControl w:val="0"/>
        <w:spacing w:before="120"/>
        <w:ind w:firstLine="567"/>
        <w:jc w:val="both"/>
        <w:rPr>
          <w:color w:val="000000"/>
          <w:sz w:val="24"/>
          <w:szCs w:val="24"/>
        </w:rPr>
      </w:pPr>
      <w:r>
        <w:rPr>
          <w:color w:val="000000"/>
          <w:sz w:val="24"/>
          <w:szCs w:val="24"/>
        </w:rPr>
        <w:t>В настоящее время основными факторами, увеличивающими себестоимость производства, можно считать, во-первых, неплатежи покупателей и заказчиков, во-вторых, - высокий уровень налоговых отчислений. Рассмотрим каждый фактор отдельно.</w:t>
      </w:r>
    </w:p>
    <w:p w:rsidR="00FE0870" w:rsidRDefault="00FE0870">
      <w:pPr>
        <w:widowControl w:val="0"/>
        <w:spacing w:before="120"/>
        <w:ind w:firstLine="567"/>
        <w:jc w:val="both"/>
        <w:rPr>
          <w:color w:val="000000"/>
          <w:sz w:val="24"/>
          <w:szCs w:val="24"/>
        </w:rPr>
      </w:pPr>
      <w:r>
        <w:rPr>
          <w:color w:val="000000"/>
          <w:sz w:val="24"/>
          <w:szCs w:val="24"/>
        </w:rPr>
        <w:t>Объединение активов участников ФПГ и ведение консолидированного баланса должны оказать значительное содействие в решении проблемы неплатежей как внутри ФПГ, так и по отношению к внешним контрагентам. Сводный баланс позволяет вести централизованный учет однородных групп расходов и усилить финансовый контроль за использованием финансовых ресурсов, что вместе с взаимозачетом неплатежей дает возможность избежать их неэффективного расходования.</w:t>
      </w:r>
    </w:p>
    <w:p w:rsidR="00FE0870" w:rsidRDefault="00FE0870">
      <w:pPr>
        <w:widowControl w:val="0"/>
        <w:spacing w:before="120"/>
        <w:ind w:firstLine="567"/>
        <w:jc w:val="both"/>
        <w:rPr>
          <w:color w:val="000000"/>
          <w:sz w:val="24"/>
          <w:szCs w:val="24"/>
        </w:rPr>
      </w:pPr>
      <w:r>
        <w:rPr>
          <w:color w:val="000000"/>
          <w:sz w:val="24"/>
          <w:szCs w:val="24"/>
        </w:rPr>
        <w:t>Во-вторых, статус ФПГ как консолидированного налогоплательщика может оказаться действенным инструментом управления финансами. Его последовательное использование позволяет планировать себестоимость производства. Статус консолидированного налоголательщика позволяет центральной компании ФПГ  свободно распределять собственные и привлеченные ресурсы внутри группы.  Эта свобода перемещения ресурсов выражается в том, что распределение средств в рамках группы может происходить между формально различными юридическими лицами. Такое перемещение средств не должно сопровождаться соответствующими изъятиями налогов в бюджет. Вне ФПГ любое перемещение средств от одного юридического лица к другому без налогового обложения, если это только не банковская ссуда, обязательно оформляется либо как авансовый платеж, либо как временная финансовая помощь. В обоих случаях в конечном итоге происходит отчисление в бюджет НДС и налога на прибыль. Исключение составляет перемещение средств в соответствии с договором о совместной деятельности, но практические возможности его использования сильно ограничены.</w:t>
      </w:r>
    </w:p>
    <w:p w:rsidR="00FE0870" w:rsidRDefault="00FE0870">
      <w:pPr>
        <w:widowControl w:val="0"/>
        <w:spacing w:before="120"/>
        <w:ind w:firstLine="567"/>
        <w:jc w:val="both"/>
        <w:rPr>
          <w:color w:val="000000"/>
          <w:sz w:val="24"/>
          <w:szCs w:val="24"/>
        </w:rPr>
      </w:pPr>
      <w:r>
        <w:rPr>
          <w:color w:val="000000"/>
          <w:sz w:val="24"/>
          <w:szCs w:val="24"/>
        </w:rPr>
        <w:t xml:space="preserve">Таким образом, право ведения консолидированного баланса предоставляет центральной компании беспрепятственно с точки зрения налогового законодательства распределять финансовые ресурсы между участниками ФПГ. Это, в свою очередь, дает возможность говорить о центральной компании как об институте формирования и распределения финансовых ресурсов внутри ФПГ и как об инвестиционном институте. Консолидированный баланс позволяет группе при осуществлении налогового планирования не ограничиваться определением сроков амортизации, но и использовать данные налоговые льготы. </w:t>
      </w:r>
    </w:p>
    <w:p w:rsidR="00FE0870" w:rsidRDefault="00FE0870">
      <w:pPr>
        <w:widowControl w:val="0"/>
        <w:spacing w:before="120"/>
        <w:ind w:firstLine="567"/>
        <w:jc w:val="both"/>
        <w:rPr>
          <w:color w:val="000000"/>
          <w:sz w:val="24"/>
          <w:szCs w:val="24"/>
        </w:rPr>
      </w:pPr>
      <w:r>
        <w:rPr>
          <w:color w:val="000000"/>
          <w:sz w:val="24"/>
          <w:szCs w:val="24"/>
        </w:rPr>
        <w:t>Еще одно достоинство подобной формы финансовой отчетности заключается в том, что участники транснациональных финансовых групп, по крайней мере в рамках СНГ, будут избавлены от двойного налогообложения: «одна из допускаемых законом России льгот для участников ФПГ исключает их «двойное» налогообложение».</w:t>
      </w:r>
      <w:r>
        <w:rPr>
          <w:rStyle w:val="a5"/>
          <w:color w:val="000000"/>
          <w:sz w:val="24"/>
          <w:szCs w:val="24"/>
          <w:vertAlign w:val="baseline"/>
        </w:rPr>
        <w:footnoteReference w:id="1"/>
      </w:r>
    </w:p>
    <w:p w:rsidR="00FE0870" w:rsidRDefault="00FE0870">
      <w:pPr>
        <w:widowControl w:val="0"/>
        <w:spacing w:before="120"/>
        <w:ind w:firstLine="567"/>
        <w:jc w:val="both"/>
        <w:rPr>
          <w:color w:val="000000"/>
          <w:sz w:val="24"/>
          <w:szCs w:val="24"/>
        </w:rPr>
      </w:pPr>
      <w:r>
        <w:rPr>
          <w:color w:val="000000"/>
          <w:sz w:val="24"/>
          <w:szCs w:val="24"/>
        </w:rPr>
        <w:t>Не следует, однако, рассматривать ФПГ как способ минимизации налогов. Консолидированный баланс и сокращение налогооблагаемой базы всего лишь исправляет в некоторой степени закрепившуюся в процессе приватизации практику дробления взаимозависимых финансово-хозяйственных структур на независимые хозяйствующие субъекты. Независимость хозяйствующих субъектов для целей налогообложения определяется формально по признаку обособления собственности, что приводит к увеличению налогооблагаемой базы внутри фактически неделимых производственных цепей. Вне этих производственных цепей производственные стадии продукта зачастую могут не иметь самостоятельного значения и ценности, но с точки зрения налогообложения они соответствуют формально независимым юридическим лицам. Это многократно увеличивает конечную цену реализации продукта, большая часть из которой взыскивается в бюджет, чтобы впоследствии возвратиться в производство в виде государственных дотаций и прочих льгот.</w:t>
      </w:r>
    </w:p>
    <w:p w:rsidR="00FE0870" w:rsidRDefault="00FE0870">
      <w:pPr>
        <w:widowControl w:val="0"/>
        <w:spacing w:before="120"/>
        <w:ind w:firstLine="567"/>
        <w:jc w:val="both"/>
        <w:rPr>
          <w:color w:val="000000"/>
          <w:sz w:val="24"/>
          <w:szCs w:val="24"/>
        </w:rPr>
      </w:pPr>
      <w:r>
        <w:rPr>
          <w:color w:val="000000"/>
          <w:sz w:val="24"/>
          <w:szCs w:val="24"/>
        </w:rPr>
        <w:t>Поэтому с полной уверенностью можно говорить о том, что в настоящее время формирование налогооблагаемой базы в российской экономике происходит за счет ее многократного умножения в производственных цепях, а не в результате увеличения собственно производства.  Тем самым мы имеем дело с ситуацией налоговой инфляции. В этой связи, в контексте отклонения Госдумой Налогового кодекса и его замены на ряд налоговых законов, связанных с исполнением бюджета, хотелось бы отметить, что России требуется не введение тех или иных налогов и пересмотр отдельных ставок, а комплексное формирование налоговой системы, существенной структурообразующей частью которой могло бы стать налоговое законодательство об ФПГ, учитывающее взаимоотношения между материнской и дочерней компаниями.</w:t>
      </w:r>
    </w:p>
    <w:p w:rsidR="00FE0870" w:rsidRDefault="00FE0870">
      <w:pPr>
        <w:widowControl w:val="0"/>
        <w:spacing w:before="120"/>
        <w:ind w:firstLine="567"/>
        <w:jc w:val="both"/>
        <w:rPr>
          <w:color w:val="000000"/>
          <w:sz w:val="24"/>
          <w:szCs w:val="24"/>
        </w:rPr>
      </w:pPr>
      <w:r>
        <w:rPr>
          <w:color w:val="000000"/>
          <w:sz w:val="24"/>
          <w:szCs w:val="24"/>
        </w:rPr>
        <w:t>Некоторые финансово-промышленные группы в Росии: общие данные</w:t>
      </w:r>
    </w:p>
    <w:tbl>
      <w:tblPr>
        <w:tblW w:w="0" w:type="auto"/>
        <w:tblInd w:w="-11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2084"/>
        <w:gridCol w:w="1852"/>
        <w:gridCol w:w="1842"/>
        <w:gridCol w:w="2268"/>
        <w:gridCol w:w="2552"/>
      </w:tblGrid>
      <w:tr w:rsidR="00FE0870" w:rsidRPr="00FE0870">
        <w:tc>
          <w:tcPr>
            <w:tcW w:w="2084" w:type="dxa"/>
          </w:tcPr>
          <w:p w:rsidR="00FE0870" w:rsidRPr="00FE0870" w:rsidRDefault="00FE0870">
            <w:pPr>
              <w:widowControl w:val="0"/>
              <w:jc w:val="both"/>
              <w:rPr>
                <w:color w:val="000000"/>
                <w:sz w:val="24"/>
                <w:szCs w:val="24"/>
              </w:rPr>
            </w:pPr>
            <w:r w:rsidRPr="00FE0870">
              <w:rPr>
                <w:color w:val="000000"/>
                <w:sz w:val="24"/>
                <w:szCs w:val="24"/>
              </w:rPr>
              <w:t>Финансово-промышленная группа</w:t>
            </w:r>
          </w:p>
        </w:tc>
        <w:tc>
          <w:tcPr>
            <w:tcW w:w="1852" w:type="dxa"/>
          </w:tcPr>
          <w:p w:rsidR="00FE0870" w:rsidRPr="00FE0870" w:rsidRDefault="00FE0870">
            <w:pPr>
              <w:widowControl w:val="0"/>
              <w:jc w:val="both"/>
              <w:rPr>
                <w:color w:val="000000"/>
                <w:sz w:val="24"/>
                <w:szCs w:val="24"/>
              </w:rPr>
            </w:pPr>
            <w:r w:rsidRPr="00FE0870">
              <w:rPr>
                <w:color w:val="000000"/>
                <w:sz w:val="24"/>
                <w:szCs w:val="24"/>
              </w:rPr>
              <w:t>Количество предприятий</w:t>
            </w:r>
          </w:p>
        </w:tc>
        <w:tc>
          <w:tcPr>
            <w:tcW w:w="1842" w:type="dxa"/>
          </w:tcPr>
          <w:p w:rsidR="00FE0870" w:rsidRPr="00FE0870" w:rsidRDefault="00FE0870">
            <w:pPr>
              <w:widowControl w:val="0"/>
              <w:jc w:val="both"/>
              <w:rPr>
                <w:color w:val="000000"/>
                <w:sz w:val="24"/>
                <w:szCs w:val="24"/>
              </w:rPr>
            </w:pPr>
            <w:r w:rsidRPr="00FE0870">
              <w:rPr>
                <w:color w:val="000000"/>
                <w:sz w:val="24"/>
                <w:szCs w:val="24"/>
              </w:rPr>
              <w:t>Количество занятых</w:t>
            </w:r>
          </w:p>
        </w:tc>
        <w:tc>
          <w:tcPr>
            <w:tcW w:w="2268" w:type="dxa"/>
          </w:tcPr>
          <w:p w:rsidR="00FE0870" w:rsidRPr="00FE0870" w:rsidRDefault="00FE0870">
            <w:pPr>
              <w:widowControl w:val="0"/>
              <w:jc w:val="both"/>
              <w:rPr>
                <w:color w:val="000000"/>
                <w:sz w:val="24"/>
                <w:szCs w:val="24"/>
              </w:rPr>
            </w:pPr>
            <w:r w:rsidRPr="00FE0870">
              <w:rPr>
                <w:color w:val="000000"/>
                <w:sz w:val="24"/>
                <w:szCs w:val="24"/>
              </w:rPr>
              <w:t>Финансово-кредитные учреждения</w:t>
            </w:r>
          </w:p>
        </w:tc>
        <w:tc>
          <w:tcPr>
            <w:tcW w:w="2552" w:type="dxa"/>
          </w:tcPr>
          <w:p w:rsidR="00FE0870" w:rsidRPr="00FE0870" w:rsidRDefault="00FE0870">
            <w:pPr>
              <w:widowControl w:val="0"/>
              <w:jc w:val="both"/>
              <w:rPr>
                <w:color w:val="000000"/>
                <w:sz w:val="24"/>
                <w:szCs w:val="24"/>
              </w:rPr>
            </w:pPr>
            <w:r w:rsidRPr="00FE0870">
              <w:rPr>
                <w:color w:val="000000"/>
                <w:sz w:val="24"/>
                <w:szCs w:val="24"/>
              </w:rPr>
              <w:t>Направления деятельности по отраслям</w:t>
            </w:r>
          </w:p>
        </w:tc>
      </w:tr>
      <w:tr w:rsidR="00FE0870" w:rsidRPr="00FE0870">
        <w:tc>
          <w:tcPr>
            <w:tcW w:w="2084" w:type="dxa"/>
          </w:tcPr>
          <w:p w:rsidR="00FE0870" w:rsidRPr="00FE0870" w:rsidRDefault="00FE0870">
            <w:pPr>
              <w:widowControl w:val="0"/>
              <w:jc w:val="both"/>
              <w:rPr>
                <w:color w:val="000000"/>
                <w:sz w:val="24"/>
                <w:szCs w:val="24"/>
              </w:rPr>
            </w:pPr>
            <w:r w:rsidRPr="00FE0870">
              <w:rPr>
                <w:color w:val="000000"/>
                <w:sz w:val="24"/>
                <w:szCs w:val="24"/>
              </w:rPr>
              <w:t>Уральские заводы (Ижевск)</w:t>
            </w:r>
          </w:p>
        </w:tc>
        <w:tc>
          <w:tcPr>
            <w:tcW w:w="1852" w:type="dxa"/>
          </w:tcPr>
          <w:p w:rsidR="00FE0870" w:rsidRPr="00FE0870" w:rsidRDefault="00FE0870">
            <w:pPr>
              <w:widowControl w:val="0"/>
              <w:jc w:val="both"/>
              <w:rPr>
                <w:color w:val="000000"/>
                <w:sz w:val="24"/>
                <w:szCs w:val="24"/>
              </w:rPr>
            </w:pPr>
            <w:r w:rsidRPr="00FE0870">
              <w:rPr>
                <w:color w:val="000000"/>
                <w:sz w:val="24"/>
                <w:szCs w:val="24"/>
              </w:rPr>
              <w:t>19</w:t>
            </w:r>
          </w:p>
        </w:tc>
        <w:tc>
          <w:tcPr>
            <w:tcW w:w="1842" w:type="dxa"/>
          </w:tcPr>
          <w:p w:rsidR="00FE0870" w:rsidRPr="00FE0870" w:rsidRDefault="00FE0870">
            <w:pPr>
              <w:widowControl w:val="0"/>
              <w:jc w:val="both"/>
              <w:rPr>
                <w:color w:val="000000"/>
                <w:sz w:val="24"/>
                <w:szCs w:val="24"/>
              </w:rPr>
            </w:pPr>
            <w:r w:rsidRPr="00FE0870">
              <w:rPr>
                <w:color w:val="000000"/>
                <w:sz w:val="24"/>
                <w:szCs w:val="24"/>
              </w:rPr>
              <w:t>46000</w:t>
            </w:r>
          </w:p>
        </w:tc>
        <w:tc>
          <w:tcPr>
            <w:tcW w:w="2268" w:type="dxa"/>
          </w:tcPr>
          <w:p w:rsidR="00FE0870" w:rsidRPr="00FE0870" w:rsidRDefault="00FE0870">
            <w:pPr>
              <w:widowControl w:val="0"/>
              <w:jc w:val="both"/>
              <w:rPr>
                <w:color w:val="000000"/>
                <w:sz w:val="24"/>
                <w:szCs w:val="24"/>
              </w:rPr>
            </w:pPr>
            <w:r w:rsidRPr="00FE0870">
              <w:rPr>
                <w:color w:val="000000"/>
                <w:sz w:val="24"/>
                <w:szCs w:val="24"/>
              </w:rPr>
              <w:t>2 банка, страховая компания, инвестиционный фонд</w:t>
            </w:r>
          </w:p>
        </w:tc>
        <w:tc>
          <w:tcPr>
            <w:tcW w:w="2552" w:type="dxa"/>
          </w:tcPr>
          <w:p w:rsidR="00FE0870" w:rsidRPr="00FE0870" w:rsidRDefault="00FE0870">
            <w:pPr>
              <w:widowControl w:val="0"/>
              <w:jc w:val="both"/>
              <w:rPr>
                <w:color w:val="000000"/>
                <w:sz w:val="24"/>
                <w:szCs w:val="24"/>
              </w:rPr>
            </w:pPr>
            <w:r w:rsidRPr="00FE0870">
              <w:rPr>
                <w:color w:val="000000"/>
                <w:sz w:val="24"/>
                <w:szCs w:val="24"/>
              </w:rPr>
              <w:t>телекоммуникации, медицинское оборудование, стройматериалы, оборудование для сельского хозяйства, оборудование для топливно-энергетического комплекса</w:t>
            </w:r>
          </w:p>
        </w:tc>
      </w:tr>
      <w:tr w:rsidR="00FE0870" w:rsidRPr="00FE0870">
        <w:tc>
          <w:tcPr>
            <w:tcW w:w="2084" w:type="dxa"/>
          </w:tcPr>
          <w:p w:rsidR="00FE0870" w:rsidRPr="00FE0870" w:rsidRDefault="00FE0870">
            <w:pPr>
              <w:widowControl w:val="0"/>
              <w:jc w:val="both"/>
              <w:rPr>
                <w:color w:val="000000"/>
                <w:sz w:val="24"/>
                <w:szCs w:val="24"/>
              </w:rPr>
            </w:pPr>
            <w:r w:rsidRPr="00FE0870">
              <w:rPr>
                <w:color w:val="000000"/>
                <w:sz w:val="24"/>
                <w:szCs w:val="24"/>
              </w:rPr>
              <w:t>Русхим (Москва)</w:t>
            </w:r>
          </w:p>
        </w:tc>
        <w:tc>
          <w:tcPr>
            <w:tcW w:w="1852" w:type="dxa"/>
          </w:tcPr>
          <w:p w:rsidR="00FE0870" w:rsidRPr="00FE0870" w:rsidRDefault="00FE0870">
            <w:pPr>
              <w:widowControl w:val="0"/>
              <w:jc w:val="both"/>
              <w:rPr>
                <w:color w:val="000000"/>
                <w:sz w:val="24"/>
                <w:szCs w:val="24"/>
              </w:rPr>
            </w:pPr>
            <w:r w:rsidRPr="00FE0870">
              <w:rPr>
                <w:color w:val="000000"/>
                <w:sz w:val="24"/>
                <w:szCs w:val="24"/>
              </w:rPr>
              <w:t>20</w:t>
            </w:r>
          </w:p>
        </w:tc>
        <w:tc>
          <w:tcPr>
            <w:tcW w:w="1842" w:type="dxa"/>
          </w:tcPr>
          <w:p w:rsidR="00FE0870" w:rsidRPr="00FE0870" w:rsidRDefault="00FE0870">
            <w:pPr>
              <w:widowControl w:val="0"/>
              <w:jc w:val="both"/>
              <w:rPr>
                <w:color w:val="000000"/>
                <w:sz w:val="24"/>
                <w:szCs w:val="24"/>
              </w:rPr>
            </w:pPr>
            <w:r w:rsidRPr="00FE0870">
              <w:rPr>
                <w:color w:val="000000"/>
                <w:sz w:val="24"/>
                <w:szCs w:val="24"/>
              </w:rPr>
              <w:t>86000</w:t>
            </w:r>
          </w:p>
        </w:tc>
        <w:tc>
          <w:tcPr>
            <w:tcW w:w="2268" w:type="dxa"/>
          </w:tcPr>
          <w:p w:rsidR="00FE0870" w:rsidRPr="00FE0870" w:rsidRDefault="00FE0870">
            <w:pPr>
              <w:widowControl w:val="0"/>
              <w:jc w:val="both"/>
              <w:rPr>
                <w:color w:val="000000"/>
                <w:sz w:val="24"/>
                <w:szCs w:val="24"/>
              </w:rPr>
            </w:pPr>
            <w:r w:rsidRPr="00FE0870">
              <w:rPr>
                <w:color w:val="000000"/>
                <w:sz w:val="24"/>
                <w:szCs w:val="24"/>
              </w:rPr>
              <w:t>банк, страховая компания</w:t>
            </w:r>
          </w:p>
        </w:tc>
        <w:tc>
          <w:tcPr>
            <w:tcW w:w="2552" w:type="dxa"/>
          </w:tcPr>
          <w:p w:rsidR="00FE0870" w:rsidRPr="00FE0870" w:rsidRDefault="00FE0870">
            <w:pPr>
              <w:widowControl w:val="0"/>
              <w:jc w:val="both"/>
              <w:rPr>
                <w:color w:val="000000"/>
                <w:sz w:val="24"/>
                <w:szCs w:val="24"/>
              </w:rPr>
            </w:pPr>
            <w:r w:rsidRPr="00FE0870">
              <w:rPr>
                <w:color w:val="000000"/>
                <w:sz w:val="24"/>
                <w:szCs w:val="24"/>
              </w:rPr>
              <w:t>химическая продукция, аграрный сектор, пищевая и легкая промышленность, машиностроение</w:t>
            </w:r>
          </w:p>
        </w:tc>
      </w:tr>
      <w:tr w:rsidR="00FE0870" w:rsidRPr="00FE0870">
        <w:tc>
          <w:tcPr>
            <w:tcW w:w="2084" w:type="dxa"/>
          </w:tcPr>
          <w:p w:rsidR="00FE0870" w:rsidRPr="00FE0870" w:rsidRDefault="00FE0870">
            <w:pPr>
              <w:widowControl w:val="0"/>
              <w:jc w:val="both"/>
              <w:rPr>
                <w:color w:val="000000"/>
                <w:sz w:val="24"/>
                <w:szCs w:val="24"/>
              </w:rPr>
            </w:pPr>
            <w:r w:rsidRPr="00FE0870">
              <w:rPr>
                <w:color w:val="000000"/>
                <w:sz w:val="24"/>
                <w:szCs w:val="24"/>
              </w:rPr>
              <w:t>Приморье (Владивосток)</w:t>
            </w:r>
          </w:p>
        </w:tc>
        <w:tc>
          <w:tcPr>
            <w:tcW w:w="1852" w:type="dxa"/>
          </w:tcPr>
          <w:p w:rsidR="00FE0870" w:rsidRPr="00FE0870" w:rsidRDefault="00FE0870">
            <w:pPr>
              <w:widowControl w:val="0"/>
              <w:jc w:val="both"/>
              <w:rPr>
                <w:color w:val="000000"/>
                <w:sz w:val="24"/>
                <w:szCs w:val="24"/>
              </w:rPr>
            </w:pPr>
            <w:r w:rsidRPr="00FE0870">
              <w:rPr>
                <w:color w:val="000000"/>
                <w:sz w:val="24"/>
                <w:szCs w:val="24"/>
              </w:rPr>
              <w:t>20</w:t>
            </w:r>
          </w:p>
        </w:tc>
        <w:tc>
          <w:tcPr>
            <w:tcW w:w="1842" w:type="dxa"/>
          </w:tcPr>
          <w:p w:rsidR="00FE0870" w:rsidRPr="00FE0870" w:rsidRDefault="00FE0870">
            <w:pPr>
              <w:widowControl w:val="0"/>
              <w:jc w:val="both"/>
              <w:rPr>
                <w:color w:val="000000"/>
                <w:sz w:val="24"/>
                <w:szCs w:val="24"/>
              </w:rPr>
            </w:pPr>
            <w:r w:rsidRPr="00FE0870">
              <w:rPr>
                <w:color w:val="000000"/>
                <w:sz w:val="24"/>
                <w:szCs w:val="24"/>
              </w:rPr>
              <w:t>19700</w:t>
            </w:r>
          </w:p>
        </w:tc>
        <w:tc>
          <w:tcPr>
            <w:tcW w:w="2268" w:type="dxa"/>
          </w:tcPr>
          <w:p w:rsidR="00FE0870" w:rsidRPr="00FE0870" w:rsidRDefault="00FE0870">
            <w:pPr>
              <w:widowControl w:val="0"/>
              <w:jc w:val="both"/>
              <w:rPr>
                <w:color w:val="000000"/>
                <w:sz w:val="24"/>
                <w:szCs w:val="24"/>
              </w:rPr>
            </w:pPr>
            <w:r w:rsidRPr="00FE0870">
              <w:rPr>
                <w:color w:val="000000"/>
                <w:sz w:val="24"/>
                <w:szCs w:val="24"/>
              </w:rPr>
              <w:t>2 банка, страховая компания</w:t>
            </w:r>
          </w:p>
        </w:tc>
        <w:tc>
          <w:tcPr>
            <w:tcW w:w="2552" w:type="dxa"/>
          </w:tcPr>
          <w:p w:rsidR="00FE0870" w:rsidRPr="00FE0870" w:rsidRDefault="00FE0870">
            <w:pPr>
              <w:widowControl w:val="0"/>
              <w:jc w:val="both"/>
              <w:rPr>
                <w:color w:val="000000"/>
                <w:sz w:val="24"/>
                <w:szCs w:val="24"/>
              </w:rPr>
            </w:pPr>
            <w:r w:rsidRPr="00FE0870">
              <w:rPr>
                <w:color w:val="000000"/>
                <w:sz w:val="24"/>
                <w:szCs w:val="24"/>
              </w:rPr>
              <w:t>строительство, стройматериалы, добыча руды, мелиорация. переработка древесины, аграрный сектор</w:t>
            </w:r>
          </w:p>
        </w:tc>
      </w:tr>
      <w:tr w:rsidR="00FE0870" w:rsidRPr="00FE0870">
        <w:tc>
          <w:tcPr>
            <w:tcW w:w="2084" w:type="dxa"/>
          </w:tcPr>
          <w:p w:rsidR="00FE0870" w:rsidRPr="00FE0870" w:rsidRDefault="00FE0870">
            <w:pPr>
              <w:widowControl w:val="0"/>
              <w:jc w:val="both"/>
              <w:rPr>
                <w:color w:val="000000"/>
                <w:sz w:val="24"/>
                <w:szCs w:val="24"/>
              </w:rPr>
            </w:pPr>
            <w:r w:rsidRPr="00FE0870">
              <w:rPr>
                <w:color w:val="000000"/>
                <w:sz w:val="24"/>
                <w:szCs w:val="24"/>
              </w:rPr>
              <w:t>Нижегородские автомобили (Нижний Новгород)</w:t>
            </w:r>
          </w:p>
        </w:tc>
        <w:tc>
          <w:tcPr>
            <w:tcW w:w="1852" w:type="dxa"/>
          </w:tcPr>
          <w:p w:rsidR="00FE0870" w:rsidRPr="00FE0870" w:rsidRDefault="00FE0870">
            <w:pPr>
              <w:widowControl w:val="0"/>
              <w:jc w:val="both"/>
              <w:rPr>
                <w:color w:val="000000"/>
                <w:sz w:val="24"/>
                <w:szCs w:val="24"/>
              </w:rPr>
            </w:pPr>
            <w:r w:rsidRPr="00FE0870">
              <w:rPr>
                <w:color w:val="000000"/>
                <w:sz w:val="24"/>
                <w:szCs w:val="24"/>
              </w:rPr>
              <w:t>30</w:t>
            </w:r>
          </w:p>
        </w:tc>
        <w:tc>
          <w:tcPr>
            <w:tcW w:w="1842" w:type="dxa"/>
          </w:tcPr>
          <w:p w:rsidR="00FE0870" w:rsidRPr="00FE0870" w:rsidRDefault="00FE0870">
            <w:pPr>
              <w:widowControl w:val="0"/>
              <w:jc w:val="both"/>
              <w:rPr>
                <w:color w:val="000000"/>
                <w:sz w:val="24"/>
                <w:szCs w:val="24"/>
              </w:rPr>
            </w:pPr>
            <w:r w:rsidRPr="00FE0870">
              <w:rPr>
                <w:color w:val="000000"/>
                <w:sz w:val="24"/>
                <w:szCs w:val="24"/>
              </w:rPr>
              <w:t>241200</w:t>
            </w:r>
          </w:p>
        </w:tc>
        <w:tc>
          <w:tcPr>
            <w:tcW w:w="2268" w:type="dxa"/>
          </w:tcPr>
          <w:p w:rsidR="00FE0870" w:rsidRPr="00FE0870" w:rsidRDefault="00FE0870">
            <w:pPr>
              <w:widowControl w:val="0"/>
              <w:jc w:val="both"/>
              <w:rPr>
                <w:color w:val="000000"/>
                <w:sz w:val="24"/>
                <w:szCs w:val="24"/>
              </w:rPr>
            </w:pPr>
            <w:r w:rsidRPr="00FE0870">
              <w:rPr>
                <w:color w:val="000000"/>
                <w:sz w:val="24"/>
                <w:szCs w:val="24"/>
              </w:rPr>
              <w:t>4 банка, 3 страховые компании</w:t>
            </w:r>
          </w:p>
        </w:tc>
        <w:tc>
          <w:tcPr>
            <w:tcW w:w="2552" w:type="dxa"/>
          </w:tcPr>
          <w:p w:rsidR="00FE0870" w:rsidRPr="00FE0870" w:rsidRDefault="00FE0870">
            <w:pPr>
              <w:widowControl w:val="0"/>
              <w:jc w:val="both"/>
              <w:rPr>
                <w:color w:val="000000"/>
                <w:sz w:val="24"/>
                <w:szCs w:val="24"/>
              </w:rPr>
            </w:pPr>
            <w:r w:rsidRPr="00FE0870">
              <w:rPr>
                <w:color w:val="000000"/>
                <w:sz w:val="24"/>
                <w:szCs w:val="24"/>
              </w:rPr>
              <w:t>производство грузовых и легковых автомобилей, дизельных и бензиновых двигателей, прицепов, транспортеров, резинотехнических изделий, изделий из стекла</w:t>
            </w:r>
          </w:p>
        </w:tc>
      </w:tr>
      <w:tr w:rsidR="00FE0870" w:rsidRPr="00FE0870">
        <w:tc>
          <w:tcPr>
            <w:tcW w:w="2084" w:type="dxa"/>
          </w:tcPr>
          <w:p w:rsidR="00FE0870" w:rsidRPr="00FE0870" w:rsidRDefault="00FE0870">
            <w:pPr>
              <w:widowControl w:val="0"/>
              <w:jc w:val="both"/>
              <w:rPr>
                <w:color w:val="000000"/>
                <w:sz w:val="24"/>
                <w:szCs w:val="24"/>
              </w:rPr>
            </w:pPr>
            <w:r w:rsidRPr="00FE0870">
              <w:rPr>
                <w:color w:val="000000"/>
                <w:sz w:val="24"/>
                <w:szCs w:val="24"/>
              </w:rPr>
              <w:t>Интеррос (Москва)</w:t>
            </w:r>
          </w:p>
        </w:tc>
        <w:tc>
          <w:tcPr>
            <w:tcW w:w="1852" w:type="dxa"/>
          </w:tcPr>
          <w:p w:rsidR="00FE0870" w:rsidRPr="00FE0870" w:rsidRDefault="00FE0870">
            <w:pPr>
              <w:widowControl w:val="0"/>
              <w:jc w:val="both"/>
              <w:rPr>
                <w:color w:val="000000"/>
                <w:sz w:val="24"/>
                <w:szCs w:val="24"/>
              </w:rPr>
            </w:pPr>
            <w:r w:rsidRPr="00FE0870">
              <w:rPr>
                <w:color w:val="000000"/>
                <w:sz w:val="24"/>
                <w:szCs w:val="24"/>
              </w:rPr>
              <w:t>23</w:t>
            </w:r>
          </w:p>
        </w:tc>
        <w:tc>
          <w:tcPr>
            <w:tcW w:w="1842" w:type="dxa"/>
          </w:tcPr>
          <w:p w:rsidR="00FE0870" w:rsidRPr="00FE0870" w:rsidRDefault="00FE0870">
            <w:pPr>
              <w:widowControl w:val="0"/>
              <w:jc w:val="both"/>
              <w:rPr>
                <w:color w:val="000000"/>
                <w:sz w:val="24"/>
                <w:szCs w:val="24"/>
              </w:rPr>
            </w:pPr>
            <w:r w:rsidRPr="00FE0870">
              <w:rPr>
                <w:color w:val="000000"/>
                <w:sz w:val="24"/>
                <w:szCs w:val="24"/>
              </w:rPr>
              <w:t>306000</w:t>
            </w:r>
          </w:p>
        </w:tc>
        <w:tc>
          <w:tcPr>
            <w:tcW w:w="2268" w:type="dxa"/>
          </w:tcPr>
          <w:p w:rsidR="00FE0870" w:rsidRPr="00FE0870" w:rsidRDefault="00FE0870">
            <w:pPr>
              <w:widowControl w:val="0"/>
              <w:jc w:val="both"/>
              <w:rPr>
                <w:color w:val="000000"/>
                <w:sz w:val="24"/>
                <w:szCs w:val="24"/>
              </w:rPr>
            </w:pPr>
            <w:r w:rsidRPr="00FE0870">
              <w:rPr>
                <w:color w:val="000000"/>
                <w:sz w:val="24"/>
                <w:szCs w:val="24"/>
              </w:rPr>
              <w:t>2 банка, пенсионный фонд</w:t>
            </w:r>
          </w:p>
        </w:tc>
        <w:tc>
          <w:tcPr>
            <w:tcW w:w="2552" w:type="dxa"/>
          </w:tcPr>
          <w:p w:rsidR="00FE0870" w:rsidRPr="00FE0870" w:rsidRDefault="00FE0870">
            <w:pPr>
              <w:widowControl w:val="0"/>
              <w:jc w:val="both"/>
              <w:rPr>
                <w:color w:val="000000"/>
                <w:sz w:val="24"/>
                <w:szCs w:val="24"/>
              </w:rPr>
            </w:pPr>
            <w:r w:rsidRPr="00FE0870">
              <w:rPr>
                <w:color w:val="000000"/>
                <w:sz w:val="24"/>
                <w:szCs w:val="24"/>
              </w:rPr>
              <w:t>производство химических удобрений, аллюминий, медь, никель, продовольственные товары, экспортные операции</w:t>
            </w:r>
          </w:p>
        </w:tc>
      </w:tr>
    </w:tbl>
    <w:p w:rsidR="00FE0870" w:rsidRDefault="00FE0870">
      <w:pPr>
        <w:widowControl w:val="0"/>
        <w:spacing w:before="120"/>
        <w:ind w:firstLine="567"/>
        <w:jc w:val="both"/>
        <w:rPr>
          <w:color w:val="000000"/>
          <w:sz w:val="24"/>
          <w:szCs w:val="24"/>
        </w:rPr>
      </w:pPr>
      <w:r>
        <w:rPr>
          <w:color w:val="000000"/>
          <w:sz w:val="24"/>
          <w:szCs w:val="24"/>
        </w:rPr>
        <w:t>Источник: Государственный реестр финансово-промышленных групп.</w:t>
      </w:r>
    </w:p>
    <w:p w:rsidR="00FE0870" w:rsidRDefault="00FE0870">
      <w:pPr>
        <w:widowControl w:val="0"/>
        <w:spacing w:before="120"/>
        <w:jc w:val="center"/>
        <w:rPr>
          <w:b/>
          <w:bCs/>
          <w:color w:val="000000"/>
          <w:sz w:val="28"/>
          <w:szCs w:val="28"/>
        </w:rPr>
      </w:pPr>
      <w:r>
        <w:rPr>
          <w:b/>
          <w:bCs/>
          <w:color w:val="000000"/>
          <w:sz w:val="28"/>
          <w:szCs w:val="28"/>
        </w:rPr>
        <w:t>Список литературы</w:t>
      </w:r>
    </w:p>
    <w:p w:rsidR="00FE0870" w:rsidRDefault="00FE0870">
      <w:pPr>
        <w:widowControl w:val="0"/>
        <w:spacing w:before="120"/>
        <w:ind w:firstLine="567"/>
        <w:jc w:val="both"/>
        <w:rPr>
          <w:color w:val="000000"/>
          <w:sz w:val="24"/>
          <w:szCs w:val="24"/>
        </w:rPr>
      </w:pPr>
      <w:r>
        <w:rPr>
          <w:color w:val="000000"/>
          <w:sz w:val="24"/>
          <w:szCs w:val="24"/>
        </w:rPr>
        <w:t>Закон Российской Федерации «О финансово-промышленных группах»от 30.11.95 г. № 190 - ФЗ</w:t>
      </w:r>
    </w:p>
    <w:p w:rsidR="00FE0870" w:rsidRDefault="00FE0870">
      <w:pPr>
        <w:widowControl w:val="0"/>
        <w:spacing w:before="120"/>
        <w:ind w:firstLine="567"/>
        <w:jc w:val="both"/>
        <w:rPr>
          <w:color w:val="000000"/>
          <w:sz w:val="24"/>
          <w:szCs w:val="24"/>
        </w:rPr>
      </w:pPr>
      <w:r>
        <w:rPr>
          <w:color w:val="000000"/>
          <w:sz w:val="24"/>
          <w:szCs w:val="24"/>
        </w:rPr>
        <w:t>Рожков М., Балабаева Н., Международные финансово-промышленные группы в СНГ: проблемы создания. // Финансовая газета. Региональный выпуск. № 32, 1996 г</w:t>
      </w:r>
    </w:p>
    <w:p w:rsidR="00FE0870" w:rsidRDefault="00FE0870">
      <w:pPr>
        <w:widowControl w:val="0"/>
        <w:spacing w:before="120"/>
        <w:ind w:firstLine="567"/>
        <w:jc w:val="both"/>
        <w:rPr>
          <w:color w:val="000000"/>
          <w:sz w:val="24"/>
          <w:szCs w:val="24"/>
        </w:rPr>
      </w:pPr>
      <w:r>
        <w:rPr>
          <w:color w:val="000000"/>
          <w:sz w:val="24"/>
          <w:szCs w:val="24"/>
        </w:rPr>
        <w:t>«Финансово-промышленные группы: современное состояние и перспективы» , «Российская экономика: тенденции и перспективы», 1996</w:t>
      </w:r>
    </w:p>
    <w:p w:rsidR="00FE0870" w:rsidRDefault="00FE0870">
      <w:pPr>
        <w:widowControl w:val="0"/>
        <w:spacing w:before="120"/>
        <w:ind w:firstLine="567"/>
        <w:jc w:val="both"/>
        <w:rPr>
          <w:color w:val="000000"/>
          <w:sz w:val="24"/>
          <w:szCs w:val="24"/>
          <w:lang w:val="en-US"/>
        </w:rPr>
      </w:pPr>
      <w:r>
        <w:rPr>
          <w:color w:val="000000"/>
          <w:sz w:val="24"/>
          <w:szCs w:val="24"/>
          <w:lang w:val="en-US"/>
        </w:rPr>
        <w:t>O.Fisher "Transnational corporations. Eastern Europe" Internet resources</w:t>
      </w:r>
      <w:bookmarkStart w:id="0" w:name="_GoBack"/>
      <w:bookmarkEnd w:id="0"/>
    </w:p>
    <w:sectPr w:rsidR="00FE0870">
      <w:pgSz w:w="11907" w:h="16840" w:code="9"/>
      <w:pgMar w:top="1134" w:right="1134" w:bottom="1134" w:left="1134" w:header="1440" w:footer="1440" w:gutter="0"/>
      <w:cols w:space="720"/>
      <w:noEndnote/>
      <w:docGrid w:linePitch="8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E0870" w:rsidRDefault="00FE0870">
      <w:r>
        <w:separator/>
      </w:r>
    </w:p>
  </w:endnote>
  <w:endnote w:type="continuationSeparator" w:id="0">
    <w:p w:rsidR="00FE0870" w:rsidRDefault="00FE08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E0870" w:rsidRDefault="00FE0870">
      <w:r>
        <w:separator/>
      </w:r>
    </w:p>
  </w:footnote>
  <w:footnote w:type="continuationSeparator" w:id="0">
    <w:p w:rsidR="00FE0870" w:rsidRDefault="00FE0870">
      <w:r>
        <w:continuationSeparator/>
      </w:r>
    </w:p>
  </w:footnote>
  <w:footnote w:id="1">
    <w:p w:rsidR="00FE0870" w:rsidRDefault="00FE0870">
      <w:pPr>
        <w:pStyle w:val="a3"/>
        <w:widowControl/>
      </w:pPr>
      <w:r>
        <w:rPr>
          <w:rStyle w:val="a5"/>
        </w:rPr>
        <w:footnoteRef/>
      </w:r>
      <w:r>
        <w:t xml:space="preserve"> Рожков М., Балабаева Н., Международные финансово-промышленные группы в СНГ: проблемы создания. // Финансовая газета. Региональный выпуск. № 32, 1996 г.</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BE34F24"/>
    <w:multiLevelType w:val="singleLevel"/>
    <w:tmpl w:val="9A122BEA"/>
    <w:lvl w:ilvl="0">
      <w:start w:val="1"/>
      <w:numFmt w:val="decimal"/>
      <w:lvlText w:val="%1."/>
      <w:legacy w:legacy="1" w:legacySpace="0" w:legacyIndent="283"/>
      <w:lvlJc w:val="left"/>
      <w:pPr>
        <w:ind w:left="850" w:hanging="283"/>
      </w:pPr>
    </w:lvl>
  </w:abstractNum>
  <w:num w:numId="1">
    <w:abstractNumId w:val="0"/>
  </w:num>
  <w:num w:numId="2">
    <w:abstractNumId w:val="0"/>
    <w:lvlOverride w:ilvl="0">
      <w:lvl w:ilvl="0">
        <w:start w:val="1"/>
        <w:numFmt w:val="decimal"/>
        <w:lvlText w:val="%1."/>
        <w:legacy w:legacy="1" w:legacySpace="0" w:legacyIndent="283"/>
        <w:lvlJc w:val="left"/>
        <w:pPr>
          <w:ind w:left="850" w:hanging="283"/>
        </w:pPr>
      </w:lvl>
    </w:lvlOverride>
  </w:num>
  <w:num w:numId="3">
    <w:abstractNumId w:val="0"/>
    <w:lvlOverride w:ilvl="0">
      <w:lvl w:ilvl="0">
        <w:start w:val="1"/>
        <w:numFmt w:val="decimal"/>
        <w:lvlText w:val="%1."/>
        <w:legacy w:legacy="1" w:legacySpace="0" w:legacyIndent="283"/>
        <w:lvlJc w:val="left"/>
        <w:pPr>
          <w:ind w:left="850" w:hanging="283"/>
        </w:pPr>
      </w:lvl>
    </w:lvlOverride>
  </w:num>
  <w:num w:numId="4">
    <w:abstractNumId w:val="0"/>
    <w:lvlOverride w:ilvl="0">
      <w:lvl w:ilvl="0">
        <w:start w:val="1"/>
        <w:numFmt w:val="decimal"/>
        <w:lvlText w:val="%1."/>
        <w:legacy w:legacy="1" w:legacySpace="0" w:legacyIndent="283"/>
        <w:lvlJc w:val="left"/>
        <w:pPr>
          <w:ind w:left="850" w:hanging="283"/>
        </w:p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rawingGridHorizontalSpacing w:val="59"/>
  <w:drawingGridVerticalSpacing w:val="40"/>
  <w:displayHorizontalDrawingGridEvery w:val="0"/>
  <w:displayVerticalDrawingGridEvery w:val="0"/>
  <w:characterSpacingControl w:val="doNotCompress"/>
  <w:doNotValidateAgainstSchema/>
  <w:doNotDemarcateInvalidXml/>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05563"/>
    <w:rsid w:val="00387CBE"/>
    <w:rsid w:val="00A05563"/>
    <w:rsid w:val="00CE431A"/>
    <w:rsid w:val="00FE087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6FF95039-5AF0-435D-839A-25A0248770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lang w:val="ru-RU" w:eastAsia="ru-RU"/>
    </w:rPr>
  </w:style>
  <w:style w:type="paragraph" w:styleId="1">
    <w:name w:val="heading 1"/>
    <w:basedOn w:val="a"/>
    <w:next w:val="a"/>
    <w:link w:val="10"/>
    <w:uiPriority w:val="99"/>
    <w:qFormat/>
    <w:pPr>
      <w:keepNext/>
      <w:widowControl w:val="0"/>
      <w:spacing w:before="240" w:after="60" w:line="360" w:lineRule="auto"/>
      <w:ind w:firstLine="567"/>
      <w:jc w:val="both"/>
      <w:outlineLvl w:val="0"/>
    </w:pPr>
    <w:rPr>
      <w:rFonts w:ascii="Arial" w:hAnsi="Arial" w:cs="Arial"/>
      <w:b/>
      <w:bCs/>
      <w:kern w:val="28"/>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paragraph" w:styleId="a3">
    <w:name w:val="footnote text"/>
    <w:basedOn w:val="a"/>
    <w:link w:val="a4"/>
    <w:uiPriority w:val="99"/>
    <w:pPr>
      <w:widowControl w:val="0"/>
    </w:pPr>
  </w:style>
  <w:style w:type="character" w:customStyle="1" w:styleId="a4">
    <w:name w:val="Текст сноски Знак"/>
    <w:link w:val="a3"/>
    <w:uiPriority w:val="99"/>
    <w:semiHidden/>
    <w:rPr>
      <w:rFonts w:ascii="Times New Roman" w:hAnsi="Times New Roman" w:cs="Times New Roman"/>
      <w:sz w:val="20"/>
      <w:szCs w:val="20"/>
    </w:rPr>
  </w:style>
  <w:style w:type="character" w:styleId="a5">
    <w:name w:val="footnote reference"/>
    <w:uiPriority w:val="99"/>
    <w:rPr>
      <w:sz w:val="20"/>
      <w:szCs w:val="20"/>
      <w:vertAlign w:val="superscript"/>
    </w:rPr>
  </w:style>
  <w:style w:type="paragraph" w:styleId="a6">
    <w:name w:val="header"/>
    <w:basedOn w:val="a"/>
    <w:link w:val="a7"/>
    <w:uiPriority w:val="99"/>
    <w:pPr>
      <w:tabs>
        <w:tab w:val="center" w:pos="4153"/>
        <w:tab w:val="right" w:pos="8306"/>
      </w:tabs>
    </w:pPr>
  </w:style>
  <w:style w:type="character" w:customStyle="1" w:styleId="a7">
    <w:name w:val="Верхний колонтитул Знак"/>
    <w:link w:val="a6"/>
    <w:uiPriority w:val="99"/>
    <w:semiHidden/>
    <w:rPr>
      <w:rFonts w:ascii="Times New Roman" w:hAnsi="Times New Roman" w:cs="Times New Roman"/>
      <w:sz w:val="20"/>
      <w:szCs w:val="20"/>
    </w:rPr>
  </w:style>
  <w:style w:type="character" w:styleId="a8">
    <w:name w:val="page number"/>
    <w:uiPriority w:val="99"/>
  </w:style>
  <w:style w:type="paragraph" w:styleId="a9">
    <w:name w:val="footer"/>
    <w:basedOn w:val="a"/>
    <w:link w:val="aa"/>
    <w:uiPriority w:val="99"/>
    <w:pPr>
      <w:tabs>
        <w:tab w:val="center" w:pos="4677"/>
        <w:tab w:val="right" w:pos="9355"/>
      </w:tabs>
    </w:pPr>
  </w:style>
  <w:style w:type="character" w:customStyle="1" w:styleId="aa">
    <w:name w:val="Нижний колонтитул Знак"/>
    <w:link w:val="a9"/>
    <w:uiPriority w:val="99"/>
    <w:semiHidden/>
    <w:rPr>
      <w:rFonts w:ascii="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9684</Words>
  <Characters>5520</Characters>
  <Application>Microsoft Office Word</Application>
  <DocSecurity>0</DocSecurity>
  <Lines>46</Lines>
  <Paragraphs>30</Paragraphs>
  <ScaleCrop>false</ScaleCrop>
  <HeadingPairs>
    <vt:vector size="2" baseType="variant">
      <vt:variant>
        <vt:lpstr>Название</vt:lpstr>
      </vt:variant>
      <vt:variant>
        <vt:i4>1</vt:i4>
      </vt:variant>
    </vt:vector>
  </HeadingPairs>
  <TitlesOfParts>
    <vt:vector size="1" baseType="lpstr">
      <vt:lpstr>ФИНАНСОВАЯ АКАДЕМИЯ ПРИ ПРАВИТЕЛЬСТВЕ РФ</vt:lpstr>
    </vt:vector>
  </TitlesOfParts>
  <Company>ФА</Company>
  <LinksUpToDate>false</LinksUpToDate>
  <CharactersWithSpaces>15174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ФИНАНСОВАЯ АКАДЕМИЯ ПРИ ПРАВИТЕЛЬСТВЕ РФ</dc:title>
  <dc:subject/>
  <dc:creator>Львов Н.Л.</dc:creator>
  <cp:keywords/>
  <dc:description/>
  <cp:lastModifiedBy>admin</cp:lastModifiedBy>
  <cp:revision>2</cp:revision>
  <dcterms:created xsi:type="dcterms:W3CDTF">2014-01-26T20:49:00Z</dcterms:created>
  <dcterms:modified xsi:type="dcterms:W3CDTF">2014-01-26T20:49:00Z</dcterms:modified>
</cp:coreProperties>
</file>