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  <w:r w:rsidRPr="00992EAE">
        <w:rPr>
          <w:sz w:val="28"/>
          <w:szCs w:val="28"/>
        </w:rPr>
        <w:t>Таврійська  державна  агротехнічна  академія</w:t>
      </w: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  <w:r w:rsidRPr="00992EAE">
        <w:rPr>
          <w:sz w:val="28"/>
          <w:szCs w:val="28"/>
        </w:rPr>
        <w:t>Кафедра   “ Бухгалтерський облік та аудит”</w:t>
      </w: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  <w:r w:rsidRPr="00992EAE">
        <w:rPr>
          <w:sz w:val="28"/>
          <w:szCs w:val="28"/>
        </w:rPr>
        <w:t>Кредитування підприємств міжнародними фінансово-кредитними інститутами.</w:t>
      </w: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</w:rPr>
      </w:pPr>
      <w:r w:rsidRPr="00992EAE">
        <w:rPr>
          <w:sz w:val="28"/>
          <w:szCs w:val="28"/>
        </w:rPr>
        <w:t>Виконав                           Компанієць Є.О.</w:t>
      </w: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</w:rPr>
      </w:pPr>
      <w:r w:rsidRPr="00992EAE">
        <w:rPr>
          <w:sz w:val="28"/>
          <w:szCs w:val="28"/>
        </w:rPr>
        <w:t>Перевірила                         Михайлова М.М.</w:t>
      </w: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  <w:lang w:val="ru-RU"/>
        </w:rPr>
      </w:pP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rPr>
          <w:sz w:val="28"/>
          <w:szCs w:val="28"/>
        </w:rPr>
      </w:pP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  <w:r w:rsidRPr="00992EAE">
        <w:rPr>
          <w:sz w:val="28"/>
          <w:szCs w:val="28"/>
        </w:rPr>
        <w:t>м.  Мелітополь</w:t>
      </w:r>
    </w:p>
    <w:p w:rsidR="00455B55" w:rsidRPr="00992EAE" w:rsidRDefault="00455B55" w:rsidP="00992EAE">
      <w:pPr>
        <w:spacing w:line="360" w:lineRule="auto"/>
        <w:ind w:firstLine="720"/>
        <w:jc w:val="center"/>
        <w:rPr>
          <w:sz w:val="28"/>
          <w:szCs w:val="28"/>
        </w:rPr>
      </w:pPr>
      <w:r w:rsidRPr="00992EAE">
        <w:rPr>
          <w:sz w:val="28"/>
          <w:szCs w:val="28"/>
        </w:rPr>
        <w:t>2006 р.</w:t>
      </w:r>
    </w:p>
    <w:p w:rsidR="007F1E48" w:rsidRPr="00992EAE" w:rsidRDefault="00455B55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br w:type="page"/>
      </w:r>
      <w:r w:rsidR="007F1E48" w:rsidRPr="00992EAE">
        <w:rPr>
          <w:sz w:val="28"/>
          <w:szCs w:val="28"/>
        </w:rPr>
        <w:t>Основними кредиторами на сучасному етапі є міжнародні й регіональні валютно-фінансові організації. До них належить Європейський банк реконструк</w:t>
      </w:r>
      <w:r w:rsidR="007F1E48" w:rsidRPr="00992EAE">
        <w:rPr>
          <w:sz w:val="28"/>
          <w:szCs w:val="28"/>
        </w:rPr>
        <w:softHyphen/>
        <w:t>ції та розвитку, який здійснює Програму мікрокредитування в Україні для малих і середніх приватних підприємств.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В умовах глобального економічного і фінансового спаду, обмежених внутріш</w:t>
      </w:r>
      <w:r w:rsidRPr="00992EAE">
        <w:rPr>
          <w:sz w:val="28"/>
          <w:szCs w:val="28"/>
        </w:rPr>
        <w:softHyphen/>
        <w:t>ніх фінансових можливостей, що характеризують перехідну українську економі</w:t>
      </w:r>
      <w:r w:rsidRPr="00992EAE">
        <w:rPr>
          <w:sz w:val="28"/>
          <w:szCs w:val="28"/>
        </w:rPr>
        <w:softHyphen/>
        <w:t>ку, однією з дієвих форм державної підтримки національного товаровиробника є залучення середньо- і довгострокових фінансових ресурсів у межах міжнародних договорів для забезпечення придбання українськими підприємствами необхідних ресурсів економічного розвитку на зовнішньому ринку.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З огляду на це треба розповісти про таке поняття, як "міжнародний кредит", визначити його переваги й вади, функції, які він виконує, детальніше охаракте</w:t>
      </w:r>
      <w:r w:rsidRPr="00992EAE">
        <w:rPr>
          <w:sz w:val="28"/>
          <w:szCs w:val="28"/>
        </w:rPr>
        <w:softHyphen/>
        <w:t>ризувати міжнародні й регіональні валютно-кредитні та фінансові організації на прикладі програми мікрокредитування в Україні за лінією Європейського банку реконструкції і розвитку (ЄБРР) й Німецько-українського фонду.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Дослідження сутності й значення міжнародного кредиту для українських підприємств знайшли відображення у працях В.В. Лагутіна, A.M. Мороза, M.I. Савлука, М.Ф. Пуховкіна, У.В. Владичина1, Є.А. Боброва</w:t>
      </w:r>
      <w:r w:rsidR="00834BEB" w:rsidRPr="00992EAE">
        <w:rPr>
          <w:sz w:val="28"/>
          <w:szCs w:val="28"/>
        </w:rPr>
        <w:t>, О.Л. Кривонога</w:t>
      </w:r>
      <w:r w:rsidRPr="00992EAE">
        <w:rPr>
          <w:sz w:val="28"/>
          <w:szCs w:val="28"/>
        </w:rPr>
        <w:t>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А.Г. Голуб і дали визначення міжнародних і регіональних валютно-кредитних та фінансових організацій і організацій, які до них нале</w:t>
      </w:r>
      <w:r w:rsidRPr="00992EAE">
        <w:rPr>
          <w:sz w:val="28"/>
          <w:szCs w:val="28"/>
        </w:rPr>
        <w:softHyphen/>
        <w:t>жать: міжнародні й регіональні валютно-кредитні та фінансові організації — це інститути, що створені на основі міждержавних угод для регулювання між</w:t>
      </w:r>
      <w:r w:rsidRPr="00992EAE">
        <w:rPr>
          <w:sz w:val="28"/>
          <w:szCs w:val="28"/>
        </w:rPr>
        <w:softHyphen/>
        <w:t>народних економічних, валютно-</w:t>
      </w:r>
      <w:r w:rsidR="00992EAE">
        <w:rPr>
          <w:sz w:val="28"/>
          <w:szCs w:val="28"/>
        </w:rPr>
        <w:t>кредитних і фінансових відносин</w:t>
      </w:r>
      <w:r w:rsidRPr="00992EAE">
        <w:rPr>
          <w:sz w:val="28"/>
          <w:szCs w:val="28"/>
        </w:rPr>
        <w:t>. До таких організацій належать:</w:t>
      </w:r>
    </w:p>
    <w:p w:rsidR="007F1E48" w:rsidRPr="00992EAE" w:rsidRDefault="007F1E48" w:rsidP="00992EAE">
      <w:pPr>
        <w:numPr>
          <w:ilvl w:val="0"/>
          <w:numId w:val="6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Банк міжнародних розрахунків (БМР);</w:t>
      </w:r>
    </w:p>
    <w:p w:rsidR="007F1E48" w:rsidRPr="00992EAE" w:rsidRDefault="007F1E48" w:rsidP="00992EAE">
      <w:pPr>
        <w:numPr>
          <w:ilvl w:val="0"/>
          <w:numId w:val="6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Міжнародний валютний фонд (МВФ);</w:t>
      </w:r>
    </w:p>
    <w:p w:rsidR="007F1E48" w:rsidRPr="00992EAE" w:rsidRDefault="007F1E48" w:rsidP="00992EAE">
      <w:pPr>
        <w:numPr>
          <w:ilvl w:val="0"/>
          <w:numId w:val="6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Міжнародний банк реконструкції і розвитку (МБРР);</w:t>
      </w:r>
    </w:p>
    <w:p w:rsidR="007F1E48" w:rsidRPr="00992EAE" w:rsidRDefault="007F1E48" w:rsidP="00992EAE">
      <w:pPr>
        <w:numPr>
          <w:ilvl w:val="0"/>
          <w:numId w:val="6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Регіональні банки розвитку.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Регіональними валютно-кредитними організаціями Спільного ринку є:</w:t>
      </w:r>
    </w:p>
    <w:p w:rsidR="007F1E48" w:rsidRPr="00992EAE" w:rsidRDefault="007F1E48" w:rsidP="00992EAE">
      <w:pPr>
        <w:numPr>
          <w:ilvl w:val="0"/>
          <w:numId w:val="6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Європейський інвестиційний банк (ЄІБ);</w:t>
      </w:r>
    </w:p>
    <w:p w:rsidR="007F1E48" w:rsidRPr="00992EAE" w:rsidRDefault="007F1E48" w:rsidP="00992EAE">
      <w:pPr>
        <w:numPr>
          <w:ilvl w:val="0"/>
          <w:numId w:val="6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Європейський фонд валютного співробітництва (ЄФВС);</w:t>
      </w:r>
    </w:p>
    <w:p w:rsidR="007F1E48" w:rsidRPr="00992EAE" w:rsidRDefault="007F1E48" w:rsidP="00992EAE">
      <w:pPr>
        <w:numPr>
          <w:ilvl w:val="0"/>
          <w:numId w:val="6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Європейський банк реконструкції і розвитку (ЄБРР).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Однак питання про міжнародні кредити і програми їх надання потребують подальших наукових досліджень.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 xml:space="preserve">Міжнародний кредит з'явився ще за феодалізму як специфічний різновид </w:t>
      </w:r>
      <w:r w:rsidR="00834BEB" w:rsidRPr="00992EAE">
        <w:rPr>
          <w:sz w:val="28"/>
          <w:szCs w:val="28"/>
        </w:rPr>
        <w:t>л</w:t>
      </w:r>
      <w:r w:rsidRPr="00992EAE">
        <w:rPr>
          <w:sz w:val="28"/>
          <w:szCs w:val="28"/>
        </w:rPr>
        <w:t xml:space="preserve">ихварського кредиту і використовувався переважно для фінансування війн, </w:t>
      </w:r>
      <w:r w:rsidR="00834BEB" w:rsidRPr="00992EAE">
        <w:rPr>
          <w:sz w:val="28"/>
          <w:szCs w:val="28"/>
        </w:rPr>
        <w:t>хр</w:t>
      </w:r>
      <w:r w:rsidRPr="00992EAE">
        <w:rPr>
          <w:sz w:val="28"/>
          <w:szCs w:val="28"/>
        </w:rPr>
        <w:t>естових походів і утримання королівських дворів Європи. Стрімкого розвитку міжнародний кредит набув за капіталізму, що пов'язано з інтернаціоналізацією виробництва, розвитком світового господарства.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Як економічна категорія міжнародний кредит виражає відносини між кредиторами і позичальниками різних країн світу щодо надання, використання і погашення кредиту.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У зовнішньоекономічних зв'язках міжнародний кредит виконує такі функції: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забезпечує перерозподіл фінансових ресурсів між сторонами;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посилює процес накопичення в межах усього світового господарства;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прискорює процес реалізації товарів, послуг, інтелектуальної власності у всесвітньому масштабі, розсуваючи тим самим рамки розширеного відтворення.</w:t>
      </w:r>
      <w:r w:rsidR="002E646E" w:rsidRPr="00992EAE">
        <w:rPr>
          <w:sz w:val="28"/>
          <w:szCs w:val="28"/>
        </w:rPr>
        <w:t xml:space="preserve"> 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Кредитна дискримінація — це встановлення гірших умов отримання, вико</w:t>
      </w:r>
      <w:r w:rsidRPr="00992EAE">
        <w:rPr>
          <w:sz w:val="28"/>
          <w:szCs w:val="28"/>
        </w:rPr>
        <w:softHyphen/>
        <w:t>ристання або погашення міжнародного кредиту для певних позичальників порів</w:t>
      </w:r>
      <w:r w:rsidRPr="00992EAE">
        <w:rPr>
          <w:sz w:val="28"/>
          <w:szCs w:val="28"/>
        </w:rPr>
        <w:softHyphen/>
        <w:t>няно з іншими з метою застосування до них економічного й політичного тиску.</w:t>
      </w:r>
    </w:p>
    <w:p w:rsidR="002E646E" w:rsidRPr="00992EAE" w:rsidRDefault="002E646E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Міжнародний кредит має певні негативні й позитивні сторони, які висвіт</w:t>
      </w:r>
      <w:r w:rsidRPr="00992EAE">
        <w:rPr>
          <w:sz w:val="28"/>
          <w:szCs w:val="28"/>
        </w:rPr>
        <w:softHyphen/>
        <w:t>лено в табл. 1.</w:t>
      </w:r>
    </w:p>
    <w:p w:rsidR="007F1E48" w:rsidRPr="00992EAE" w:rsidRDefault="0015380D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br w:type="page"/>
      </w:r>
      <w:r w:rsidR="007F1E48" w:rsidRPr="00992EAE">
        <w:rPr>
          <w:sz w:val="28"/>
          <w:szCs w:val="28"/>
        </w:rPr>
        <w:t>Таблиця 1. Позитивні й негативні сторони міжнародних кредитів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4438"/>
      </w:tblGrid>
      <w:tr w:rsidR="007F1E48" w:rsidRPr="00992EAE">
        <w:trPr>
          <w:trHeight w:hRule="exact" w:val="375"/>
        </w:trPr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Негативні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Позитивні</w:t>
            </w:r>
          </w:p>
        </w:tc>
      </w:tr>
      <w:tr w:rsidR="007F1E48" w:rsidRPr="00992EAE">
        <w:trPr>
          <w:trHeight w:hRule="exact" w:val="646"/>
        </w:trPr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1. Поглиблює і загострює диспропорцію в економіці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1. Стимулює зовнішню торгівлю, створюючи додатковий попит на ринку</w:t>
            </w:r>
          </w:p>
        </w:tc>
      </w:tr>
      <w:tr w:rsidR="007F1E48" w:rsidRPr="00992EAE">
        <w:trPr>
          <w:trHeight w:hRule="exact" w:val="1156"/>
        </w:trPr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2. Сприяє перевиробництву товарів, перерозподіляє позиковий капітал між країнами і сприяє стрибкоподібному розвиткові виробництва в періоди підйому та періодичним його спадам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2. Створює сприятливі умови для іноземних приватних інвестицій, оскільки пов'язаний із потребою надання пільг фірмам країни-кредитора</w:t>
            </w:r>
          </w:p>
        </w:tc>
      </w:tr>
      <w:tr w:rsidR="007F1E48" w:rsidRPr="00992EAE">
        <w:trPr>
          <w:trHeight w:hRule="exact" w:val="1156"/>
        </w:trPr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3. Посилює диспропорції суспільного відтворення, полегшує розвиток найприбутковіших галузей і затримує розвиток галузей, у які не залучається іноземний капітал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3. Використовується у створенні інфраструктури, необхідної для функціонування підприємств, зокрема — іноземних і змішаних</w:t>
            </w:r>
          </w:p>
        </w:tc>
      </w:tr>
      <w:tr w:rsidR="007F1E48" w:rsidRPr="00992EAE">
        <w:trPr>
          <w:trHeight w:hRule="exact" w:val="917"/>
        </w:trPr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4. Є важелем спекуляції й чинником загострення економічних і валютних криз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4. Використовується для вилучення прибутку з країн-позичальників, посилюючи позиції фінансового капіталу</w:t>
            </w:r>
          </w:p>
        </w:tc>
      </w:tr>
      <w:tr w:rsidR="007F1E48" w:rsidRPr="00992EAE">
        <w:trPr>
          <w:trHeight w:hRule="exact" w:val="1172"/>
        </w:trPr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5. Сприяє проведенню політики кредитної дискримінації та кредитної блокади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r w:rsidRPr="00992EAE">
              <w:t>5. Сприяє створенню і закріпленню в країнах-боржниках вигідних для іноземних монополій економічного й політичного режимів.</w:t>
            </w:r>
          </w:p>
        </w:tc>
      </w:tr>
    </w:tbl>
    <w:p w:rsidR="00992EAE" w:rsidRDefault="00992EAE" w:rsidP="00992EAE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Стратегія залучення і використання іноземних кредитів базується на пріори</w:t>
      </w:r>
      <w:r w:rsidRPr="00992EAE">
        <w:rPr>
          <w:sz w:val="28"/>
          <w:szCs w:val="28"/>
        </w:rPr>
        <w:softHyphen/>
        <w:t>тетних напрямах розвитку економіки України, затверджених постановою Кабіне</w:t>
      </w:r>
      <w:r w:rsidRPr="00992EAE">
        <w:rPr>
          <w:sz w:val="28"/>
          <w:szCs w:val="28"/>
        </w:rPr>
        <w:softHyphen/>
        <w:t>ту Міністрів України від 3 квітня 1995 року № 234 (енерго- та ресурсоощадні тех</w:t>
      </w:r>
      <w:r w:rsidRPr="00992EAE">
        <w:rPr>
          <w:sz w:val="28"/>
          <w:szCs w:val="28"/>
        </w:rPr>
        <w:softHyphen/>
        <w:t>нології, агропромисловий комплекс, медична й мікробіологічна промисловість, авіабудування, ракетобудування, автомобілебудування, легка промисловість, інф</w:t>
      </w:r>
      <w:r w:rsidRPr="00992EAE">
        <w:rPr>
          <w:sz w:val="28"/>
          <w:szCs w:val="28"/>
        </w:rPr>
        <w:softHyphen/>
        <w:t>раструктура, окремі, надзвичайно важливі об'єкти), на програмах діяльності Кабі</w:t>
      </w:r>
      <w:r w:rsidRPr="00992EAE">
        <w:rPr>
          <w:sz w:val="28"/>
          <w:szCs w:val="28"/>
        </w:rPr>
        <w:softHyphen/>
        <w:t>нету Міністрів України з відповідними корективами, що окреслюються законами про Державний бюджет України на кожний рік.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Останнім часом при залученні іноземних експортних кредитів державні ор</w:t>
      </w:r>
      <w:r w:rsidRPr="00992EAE">
        <w:rPr>
          <w:sz w:val="28"/>
          <w:szCs w:val="28"/>
        </w:rPr>
        <w:softHyphen/>
        <w:t>гани докладають зусиль, щоб змусити ці ресурси працювати на території Украї</w:t>
      </w:r>
      <w:r w:rsidRPr="00992EAE">
        <w:rPr>
          <w:sz w:val="28"/>
          <w:szCs w:val="28"/>
        </w:rPr>
        <w:softHyphen/>
        <w:t>ни й підтримувати українські підприємства. Міжнародні правила дозволяють фі</w:t>
      </w:r>
      <w:r w:rsidRPr="00992EAE">
        <w:rPr>
          <w:sz w:val="28"/>
          <w:szCs w:val="28"/>
        </w:rPr>
        <w:softHyphen/>
        <w:t>нансувати і ту частку контрактів, яка передбачає постачання товарів або надання послуг, що походять не з країн-кредиторів, зокрема й частку власного виробниц</w:t>
      </w:r>
      <w:r w:rsidRPr="00992EAE">
        <w:rPr>
          <w:sz w:val="28"/>
          <w:szCs w:val="28"/>
        </w:rPr>
        <w:softHyphen/>
        <w:t>тва (до 15 %). Як вимогу до зарубіжного кредитора при наданні державних га</w:t>
      </w:r>
      <w:r w:rsidRPr="00992EAE">
        <w:rPr>
          <w:sz w:val="28"/>
          <w:szCs w:val="28"/>
        </w:rPr>
        <w:softHyphen/>
        <w:t>рантій Уряд України висуває виконання субконтрактів за експортними контрак</w:t>
      </w:r>
      <w:r w:rsidRPr="00992EAE">
        <w:rPr>
          <w:sz w:val="28"/>
          <w:szCs w:val="28"/>
        </w:rPr>
        <w:softHyphen/>
        <w:t>тами українськими виробниками, створення спільних підприємств.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Залучення і використання іноземних кредитів стимулює збільшення прямих інвестицій в економіку України, про що свідчать окремі приклади, коли спочат</w:t>
      </w:r>
      <w:r w:rsidR="000E3566">
        <w:rPr>
          <w:noProof/>
          <w:lang w:val="ru-RU" w:eastAsia="ru-RU"/>
        </w:rPr>
        <w:pict>
          <v:line id="_x0000_s1026" style="position:absolute;left:0;text-align:left;z-index:251657728;mso-position-horizontal-relative:margin;mso-position-vertical-relative:text" from="420.7pt,293.75pt" to="420.7pt,302.4pt" o:allowincell="f" strokeweight=".25pt">
            <w10:wrap anchorx="margin"/>
          </v:line>
        </w:pict>
      </w:r>
      <w:r w:rsidRPr="00992EAE">
        <w:rPr>
          <w:sz w:val="28"/>
          <w:szCs w:val="28"/>
        </w:rPr>
        <w:t>ку постачалося обладнання до України за рахунок іноземного кредиту, а згодом компанія-виробник приймала рішення про заснування спільного підприємства із внесенням статутного фонду і відповідно створення додаткового механізму сво</w:t>
      </w:r>
      <w:r w:rsidRPr="00992EAE">
        <w:rPr>
          <w:sz w:val="28"/>
          <w:szCs w:val="28"/>
        </w:rPr>
        <w:softHyphen/>
        <w:t>єчасного погашення залучених кредитів.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Виходячи з необхідності структурних зрушень в українській промисловості, перевага надається спрямуванню іноземних кредитів у галузі з високою часткою доданої вартості (машинобудування, переробна, харчова, легка промисловість, інфраструктура).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З вересня 1997 року укладено вісім міжнародних угод про фінансове спів</w:t>
      </w:r>
      <w:r w:rsidRPr="00992EAE">
        <w:rPr>
          <w:sz w:val="28"/>
          <w:szCs w:val="28"/>
        </w:rPr>
        <w:softHyphen/>
        <w:t>робітництво з урядами Японії, Чехії, Фінляндії, Канади, Норвегії, Данії, Польщі, Туреччини, які дають змогу українським підприємствам залучати іноземні кредити на загальну суму понад 1 млрд доларів США і співпрацювати з іно</w:t>
      </w:r>
      <w:r w:rsidRPr="00992EAE">
        <w:rPr>
          <w:sz w:val="28"/>
          <w:szCs w:val="28"/>
        </w:rPr>
        <w:softHyphen/>
        <w:t>земними партнерами у різних напрямках модернізації власного виробництва конкурентоспроможним обладнанням, тим самим інтегруючись у європейську й світову кооперацію.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У листопаді 1998 року Європейський банк реконструкції і розвитку започат</w:t>
      </w:r>
      <w:r w:rsidRPr="00992EAE">
        <w:rPr>
          <w:sz w:val="28"/>
          <w:szCs w:val="28"/>
        </w:rPr>
        <w:softHyphen/>
        <w:t>кував Програму мікрокредитування в Україні. Ця програма є розширенням кре</w:t>
      </w:r>
      <w:r w:rsidRPr="00992EAE">
        <w:rPr>
          <w:sz w:val="28"/>
          <w:szCs w:val="28"/>
        </w:rPr>
        <w:softHyphen/>
        <w:t>дитної лінії для малих і середніх підприємств, що існує в Україні з 1995 року і становить за обсягом 120 млн дол. Програма мікрокредитування має на меті під</w:t>
      </w:r>
      <w:r w:rsidRPr="00992EAE">
        <w:rPr>
          <w:sz w:val="28"/>
          <w:szCs w:val="28"/>
        </w:rPr>
        <w:softHyphen/>
        <w:t>тримку розвитку мікро- та малих підприємств шляхом створення сприятливих умов для отримання банківських кредитів. Особливу увагу також приділено тим бізнес-групам, що здійснюють зовнішньоекономічну діяльність. Реалізація прог</w:t>
      </w:r>
      <w:r w:rsidRPr="00992EAE">
        <w:rPr>
          <w:sz w:val="28"/>
          <w:szCs w:val="28"/>
        </w:rPr>
        <w:softHyphen/>
        <w:t>рами відбувається за підтримки TACIS — Програми Європейського союзу та USAID — Агентства США з міжнародного розвитку. З українського боку відпо</w:t>
      </w:r>
      <w:r w:rsidRPr="00992EAE">
        <w:rPr>
          <w:sz w:val="28"/>
          <w:szCs w:val="28"/>
        </w:rPr>
        <w:softHyphen/>
        <w:t>відальним за виконання проекту є Національний банк України.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У вересні 1996 року створено Німецько-український фонд (НУФ), метою якого є полегшення доступу до кредитів для малих і середніх підприємств (МСП) в Україні. Водночас цей фонд доповнює вже наявні проекти в рамках програми уряду Німеччини "TRANSFORM". Стартовий капітал НУФ становив на той час 10 млн DM, який уряд Німеччини надав Україні як грант, створений у вигляді "вічного" револьверного фонду. На сьогодні видано близько 600 кредитів на су</w:t>
      </w:r>
      <w:r w:rsidRPr="00992EAE">
        <w:rPr>
          <w:sz w:val="28"/>
          <w:szCs w:val="28"/>
        </w:rPr>
        <w:softHyphen/>
        <w:t>му, що перевищує 21 млн DM. Відповідальними за виконання проекту є Кредит</w:t>
      </w:r>
      <w:r w:rsidRPr="00992EAE">
        <w:rPr>
          <w:sz w:val="28"/>
          <w:szCs w:val="28"/>
        </w:rPr>
        <w:softHyphen/>
        <w:t>на установа для відбудови (KFW) і Національний банк України.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Проект спільного кредитування має на меті (на взаємодоповнювальній основі):</w:t>
      </w:r>
    </w:p>
    <w:p w:rsidR="007F1E48" w:rsidRPr="00992EAE" w:rsidRDefault="007F1E48" w:rsidP="00992EAE">
      <w:pPr>
        <w:numPr>
          <w:ilvl w:val="0"/>
          <w:numId w:val="7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надання кредитних коштів мікро- і малим підприємствам;</w:t>
      </w:r>
    </w:p>
    <w:p w:rsidR="002E646E" w:rsidRPr="00992EAE" w:rsidRDefault="007F1E48" w:rsidP="00992EAE">
      <w:pPr>
        <w:numPr>
          <w:ilvl w:val="0"/>
          <w:numId w:val="7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надання технічної підтримки комерційним банкам у сприянні розвитку</w:t>
      </w:r>
      <w:r w:rsidRPr="00992EAE">
        <w:rPr>
          <w:sz w:val="28"/>
          <w:szCs w:val="28"/>
        </w:rPr>
        <w:br/>
        <w:t>названих цільових груп;</w:t>
      </w:r>
    </w:p>
    <w:p w:rsidR="007F1E48" w:rsidRPr="00992EAE" w:rsidRDefault="007F1E48" w:rsidP="00992EAE">
      <w:pPr>
        <w:numPr>
          <w:ilvl w:val="0"/>
          <w:numId w:val="7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створення умов для тривалого фінансування мікро- і малих підприємств українськими комерційними банками.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Цільовими групами програми є, з одного боку, мікро- і малі підприємства України, а з другого — зацікавлені комерційні банки, що отримують систематич</w:t>
      </w:r>
      <w:r w:rsidRPr="00992EAE">
        <w:rPr>
          <w:sz w:val="28"/>
          <w:szCs w:val="28"/>
        </w:rPr>
        <w:softHyphen/>
        <w:t>ну допомогу, метою якої є навчання й підготовка до кредитування мікро- і мало</w:t>
      </w:r>
      <w:r w:rsidRPr="00992EAE">
        <w:rPr>
          <w:sz w:val="28"/>
          <w:szCs w:val="28"/>
        </w:rPr>
        <w:softHyphen/>
        <w:t>го бізнесу.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У країнах Східної Європи з перехідною економікою мікро- і малі підпри</w:t>
      </w:r>
      <w:r w:rsidRPr="00992EAE">
        <w:rPr>
          <w:sz w:val="28"/>
          <w:szCs w:val="28"/>
        </w:rPr>
        <w:softHyphen/>
        <w:t>ємства наштовхуються на велику кількість проблем і перешкод, однією з яких є майже повна відсутність доступу до кредитних ресурсів банківської системи. Це стосується як короткострокового обігового капіталу, так і довгострокового інвестиційного. Саме тому впровадження міжнародним співтовариством кре</w:t>
      </w:r>
      <w:r w:rsidRPr="00992EAE">
        <w:rPr>
          <w:sz w:val="28"/>
          <w:szCs w:val="28"/>
        </w:rPr>
        <w:softHyphen/>
        <w:t>дитних ліній для місцевих комерційних банків України набуває особливого значення. Кінцевою метою програми є надання послуг по всій країні. На сьо</w:t>
      </w:r>
      <w:r w:rsidRPr="00992EAE">
        <w:rPr>
          <w:sz w:val="28"/>
          <w:szCs w:val="28"/>
        </w:rPr>
        <w:softHyphen/>
        <w:t>годні програма вже діє у Дніпропетровську, Донецьку, Запоріжжі, Києві, Льво</w:t>
      </w:r>
      <w:r w:rsidRPr="00992EAE">
        <w:rPr>
          <w:sz w:val="28"/>
          <w:szCs w:val="28"/>
        </w:rPr>
        <w:softHyphen/>
        <w:t>ві, Харкові.</w:t>
      </w:r>
    </w:p>
    <w:p w:rsidR="0015380D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92EAE">
        <w:rPr>
          <w:sz w:val="28"/>
          <w:szCs w:val="28"/>
        </w:rPr>
        <w:t>Провідну роль в успішній реалізації програми, яка орієнтована на певні ці</w:t>
      </w:r>
      <w:r w:rsidRPr="00992EAE">
        <w:rPr>
          <w:sz w:val="28"/>
          <w:szCs w:val="28"/>
        </w:rPr>
        <w:softHyphen/>
        <w:t>льові групи, відіграє підготовка місцевих кредитних експертів. Завдяки консуль</w:t>
      </w:r>
      <w:r w:rsidRPr="00992EAE">
        <w:rPr>
          <w:sz w:val="28"/>
          <w:szCs w:val="28"/>
        </w:rPr>
        <w:softHyphen/>
        <w:t>тативно-технічній допомозі, яка надається TACIS, USAID та німецькою програ</w:t>
      </w:r>
      <w:r w:rsidRPr="00992EAE">
        <w:rPr>
          <w:sz w:val="28"/>
          <w:szCs w:val="28"/>
        </w:rPr>
        <w:softHyphen/>
        <w:t xml:space="preserve">мою TRANSFORM, в українських комерційних банках — учасниках програми — створюються відділи мікрокредитування. 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Щоб отримати фінансування за цією кредитною лінією, підприємства-позичальники повинні відповідати таким вимогам: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МСП мають належати до приватного сектору або контролюватися ним;</w:t>
      </w:r>
    </w:p>
    <w:p w:rsidR="007F1E48" w:rsidRPr="00992EAE" w:rsidRDefault="007F1E48" w:rsidP="00992EAE">
      <w:pPr>
        <w:numPr>
          <w:ilvl w:val="0"/>
          <w:numId w:val="8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вони повинні бути платоспроможними та життєздатними з комерційної точки зору;</w:t>
      </w:r>
    </w:p>
    <w:p w:rsidR="007F1E48" w:rsidRPr="00992EAE" w:rsidRDefault="007F1E48" w:rsidP="00992EAE">
      <w:pPr>
        <w:numPr>
          <w:ilvl w:val="0"/>
          <w:numId w:val="8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кількість працівників у них має бути не більш ніж 500 осіб;</w:t>
      </w:r>
    </w:p>
    <w:p w:rsidR="007F1E48" w:rsidRPr="00992EAE" w:rsidRDefault="007F1E48" w:rsidP="00992EAE">
      <w:pPr>
        <w:numPr>
          <w:ilvl w:val="0"/>
          <w:numId w:val="8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фонди підприємства перед упровадженням проекту повинні становити не більш як 2,5 млн дол (на основі оновлення, без урахування вартості буді</w:t>
      </w:r>
      <w:r w:rsidRPr="00992EAE">
        <w:rPr>
          <w:sz w:val="28"/>
          <w:szCs w:val="28"/>
        </w:rPr>
        <w:softHyphen/>
        <w:t xml:space="preserve"> вель і землі);</w:t>
      </w:r>
    </w:p>
    <w:p w:rsidR="007F1E48" w:rsidRPr="00992EAE" w:rsidRDefault="007F1E48" w:rsidP="00992EAE">
      <w:pPr>
        <w:numPr>
          <w:ilvl w:val="0"/>
          <w:numId w:val="8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МСП не може бути дочірньою компанією банку-учасника, який надає позику;</w:t>
      </w:r>
    </w:p>
    <w:p w:rsidR="007F1E48" w:rsidRPr="00992EAE" w:rsidRDefault="007F1E48" w:rsidP="00992EAE">
      <w:pPr>
        <w:numPr>
          <w:ilvl w:val="0"/>
          <w:numId w:val="8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співвідношення між боргом і власними коштами не повинно перевищувати 70:30 (на корпоративній основі разом із позикою);</w:t>
      </w:r>
    </w:p>
    <w:p w:rsidR="007F1E48" w:rsidRPr="00992EAE" w:rsidRDefault="007F1E48" w:rsidP="00992EAE">
      <w:pPr>
        <w:numPr>
          <w:ilvl w:val="0"/>
          <w:numId w:val="8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коефіцієнт покриття обслуговування боргу не може бути меншим за 1,3:1;</w:t>
      </w:r>
    </w:p>
    <w:p w:rsidR="007F1E48" w:rsidRPr="00992EAE" w:rsidRDefault="007F1E48" w:rsidP="00992EAE">
      <w:pPr>
        <w:numPr>
          <w:ilvl w:val="0"/>
          <w:numId w:val="8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жодних суттєвих змін до статуту (структура акціонерів, вид діяльності тощо) не може бути внесено без попередньої згоди банку-учасника;</w:t>
      </w:r>
    </w:p>
    <w:p w:rsidR="007F1E48" w:rsidRPr="00992EAE" w:rsidRDefault="007F1E48" w:rsidP="00992EAE">
      <w:pPr>
        <w:numPr>
          <w:ilvl w:val="0"/>
          <w:numId w:val="8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розмір дивідендів повинен обмежуватися відповідно до зобов'язань щодо бслуговування боргу.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Позики не надаються на покриття наявних зобов'язань приватних підпри</w:t>
      </w:r>
      <w:r w:rsidRPr="00992EAE">
        <w:rPr>
          <w:sz w:val="28"/>
          <w:szCs w:val="28"/>
        </w:rPr>
        <w:softHyphen/>
        <w:t>ємств перед банками-учасниками, на фінансування житлових проектів, вкладан</w:t>
      </w:r>
      <w:r w:rsidRPr="00992EAE">
        <w:rPr>
          <w:sz w:val="28"/>
          <w:szCs w:val="28"/>
        </w:rPr>
        <w:softHyphen/>
        <w:t>ня інвестицій у цінні папери.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Що стосується інвестиційних проектів, то ретроактивне фінансування може становити до 35 % суми позики не більш як за три місяці до схвалення позики або підписання договору про надання позики між банками-учасниками та НБУ, залежно від того, що відбулося пізніше.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Згідно з офіційними процедурами кредитування необхідно визначити відпо</w:t>
      </w:r>
      <w:r w:rsidRPr="00992EAE">
        <w:rPr>
          <w:sz w:val="28"/>
          <w:szCs w:val="28"/>
        </w:rPr>
        <w:softHyphen/>
        <w:t>відне додаткове забезпечення. Таке додаткове забезпечення й інші гарантії мають покрити щонайменше 120 % позики; вони не можуть передаватися у заставу тре</w:t>
      </w:r>
      <w:r w:rsidRPr="00992EAE">
        <w:rPr>
          <w:sz w:val="28"/>
          <w:szCs w:val="28"/>
        </w:rPr>
        <w:softHyphen/>
        <w:t>тім особам до повного повернення позики.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Мінімальний розмір позики — 50 000 доларів США.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Максимальний розмір — найменша сума з нижченаведених:</w:t>
      </w:r>
    </w:p>
    <w:p w:rsidR="007F1E48" w:rsidRPr="00992EAE" w:rsidRDefault="007F1E48" w:rsidP="00992EAE">
      <w:pPr>
        <w:numPr>
          <w:ilvl w:val="0"/>
          <w:numId w:val="9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2,5 млн дол; при цьому загальна сума позик одному позичальникові (або групі позичальників чи учасників, пов'язаних між собою) не повинна перевищувати 5 млн дол;</w:t>
      </w:r>
    </w:p>
    <w:p w:rsidR="007F1E48" w:rsidRPr="00992EAE" w:rsidRDefault="007F1E48" w:rsidP="00992EAE">
      <w:pPr>
        <w:numPr>
          <w:ilvl w:val="0"/>
          <w:numId w:val="9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20 % капіталу та резервів банку-учасника;</w:t>
      </w:r>
    </w:p>
    <w:p w:rsidR="007F1E48" w:rsidRPr="00992EAE" w:rsidRDefault="007F1E48" w:rsidP="00992EAE">
      <w:pPr>
        <w:numPr>
          <w:ilvl w:val="0"/>
          <w:numId w:val="9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70 % загальної вартості об'єкта;</w:t>
      </w:r>
    </w:p>
    <w:p w:rsidR="007F1E48" w:rsidRPr="00992EAE" w:rsidRDefault="007F1E48" w:rsidP="00992EAE">
      <w:pPr>
        <w:numPr>
          <w:ilvl w:val="0"/>
          <w:numId w:val="9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невеликих сум, що можуть бути потрібні відповідно до обгрунтованих вимог НБУ.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Реальний період повернення позики залежатиме від обігу коштів, від проек</w:t>
      </w:r>
      <w:r w:rsidRPr="00992EAE">
        <w:rPr>
          <w:sz w:val="28"/>
          <w:szCs w:val="28"/>
        </w:rPr>
        <w:softHyphen/>
        <w:t>ту і підлягатиме таким обмеженням: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Для позик на експорт та імпорт цей термін відповідатиме циклу конвертації грошей позичальником, як правило, 6—12 місяцям;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Не перевищуватиме 5-ти років, ураховуючи щонайбільше два пільгових роки у разі, якщо остаточна дата виплати буде не пізніша за кінцеву дату повернення позики Національним банком України Європейському банкові (для траншу, з якого фінансується позика).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Відсоток, який підлягає сплаті, складатиметься з: а) вартості коштів для банку-учасника (відповідно до змінного курсу долара LIBOR за 6 місяців плюс 300 основних пунктів); б) маржі, що забезпечить банку-учасникові ко</w:t>
      </w:r>
      <w:r w:rsidRPr="00992EAE">
        <w:rPr>
          <w:sz w:val="28"/>
          <w:szCs w:val="28"/>
        </w:rPr>
        <w:softHyphen/>
        <w:t>мерційний прибуток (очікується, що відсоткова ставка для МСП-позичаль-ників буде між LIBOR плюс 400—500 основних пунктів); в) комерційно об</w:t>
      </w:r>
      <w:r w:rsidRPr="00992EAE">
        <w:rPr>
          <w:sz w:val="28"/>
          <w:szCs w:val="28"/>
        </w:rPr>
        <w:softHyphen/>
        <w:t>грунтованих зборів.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ЄБРР повинен розглянути і схвалити перші три позики, запропоновані кож</w:t>
      </w:r>
      <w:r w:rsidRPr="00992EAE">
        <w:rPr>
          <w:sz w:val="28"/>
          <w:szCs w:val="28"/>
        </w:rPr>
        <w:softHyphen/>
        <w:t>ним із банків-учасників.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Усі проекти мають затверджуватися на підставі оцінки, проведеної банком-учасником, ураховуючи детальний бізнес-план і план експорту.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Проекти мають забезпечити позитивну чисту теперішню вартість при став</w:t>
      </w:r>
      <w:r w:rsidRPr="00992EAE">
        <w:rPr>
          <w:sz w:val="28"/>
          <w:szCs w:val="28"/>
        </w:rPr>
        <w:softHyphen/>
        <w:t>ці дисконту, яка б принаймні урівнювала майбутні грошові надходження з вар</w:t>
      </w:r>
      <w:r w:rsidRPr="00992EAE">
        <w:rPr>
          <w:sz w:val="28"/>
          <w:szCs w:val="28"/>
        </w:rPr>
        <w:softHyphen/>
        <w:t>тістю кредиту, враховуючи відсоткові нарахування й інші збори.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Проект має містити спеціальний розділ, що обґрунтовував би його відповід</w:t>
      </w:r>
      <w:r w:rsidRPr="00992EAE">
        <w:rPr>
          <w:sz w:val="28"/>
          <w:szCs w:val="28"/>
        </w:rPr>
        <w:softHyphen/>
        <w:t>ність вимогам охорони навколишнього середовища (на рівні, прийнятому для ЄБРР); проекти також не повинні суперечити чинним в Україні природоохорон</w:t>
      </w:r>
      <w:r w:rsidRPr="00992EAE">
        <w:rPr>
          <w:sz w:val="28"/>
          <w:szCs w:val="28"/>
        </w:rPr>
        <w:softHyphen/>
        <w:t>ним законам і правилам.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Проекти не мають бути пов'язані з азартними іграми, виробництвом міцних напоїв, військового спорядження, а також із товарами або діяльністю, які внесе</w:t>
      </w:r>
      <w:r w:rsidRPr="00992EAE">
        <w:rPr>
          <w:sz w:val="28"/>
          <w:szCs w:val="28"/>
        </w:rPr>
        <w:softHyphen/>
        <w:t>но до Природоохоронного списку ЄБРР.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Мінімальна сума проекту — 75 000 дол.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Максимальна — 4 млн дол.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Для інвестиційних проектів спонсор повинен внести щонайменше 30 % від вартості проекту із власних коштів (ураховуючи значну суму грішми).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Закупівля здійснюватиметься відповідно до правил ЄБРР, щоб товари і послуги реалізовувалися за ринковими цінами і щоб рішення про капітальні ін</w:t>
      </w:r>
      <w:r w:rsidRPr="00992EAE">
        <w:rPr>
          <w:sz w:val="28"/>
          <w:szCs w:val="28"/>
        </w:rPr>
        <w:softHyphen/>
        <w:t>вестиції приймалися з урахуванням ефективності вкладених коштів на конку</w:t>
      </w:r>
      <w:r w:rsidRPr="00992EAE">
        <w:rPr>
          <w:sz w:val="28"/>
          <w:szCs w:val="28"/>
        </w:rPr>
        <w:softHyphen/>
        <w:t>рентних засадах.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Умови кредитування за лініями ЄБРР наведені в табл. 29.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На сьогодні реалізацію Програми мікрокредитування в Україні почато в та</w:t>
      </w:r>
      <w:r w:rsidRPr="00992EAE">
        <w:rPr>
          <w:sz w:val="28"/>
          <w:szCs w:val="28"/>
        </w:rPr>
        <w:softHyphen/>
        <w:t>ких регіонах: Дніпропетровськ, Донецьк, Вінниця, Закарпаття, Запоріжжя, Київ, Крим, Луганськ, Луцьк, Львів, Миколаїв, Одеса, Полтава, Рівне, Тернопіль, Хар</w:t>
      </w:r>
      <w:r w:rsidRPr="00992EAE">
        <w:rPr>
          <w:sz w:val="28"/>
          <w:szCs w:val="28"/>
        </w:rPr>
        <w:softHyphen/>
        <w:t>ків, Херсон, Хмельницький, Черкаси, Чернівці.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Станом на 31 березня 2004 року мікро- і малі підприємства України одержа</w:t>
      </w:r>
      <w:r w:rsidRPr="00992EAE">
        <w:rPr>
          <w:sz w:val="28"/>
          <w:szCs w:val="28"/>
        </w:rPr>
        <w:softHyphen/>
        <w:t>ли 74000 кредитів на загальну суму 421 млн дол. Фінансуються такі види діяль</w:t>
      </w:r>
      <w:r w:rsidRPr="00992EAE">
        <w:rPr>
          <w:sz w:val="28"/>
          <w:szCs w:val="28"/>
        </w:rPr>
        <w:softHyphen/>
        <w:t>ності, як ринкова торгівля, пошиття одягу, пекарська справа, стоматологічні пос</w:t>
      </w:r>
      <w:r w:rsidRPr="00992EAE">
        <w:rPr>
          <w:sz w:val="28"/>
          <w:szCs w:val="28"/>
        </w:rPr>
        <w:softHyphen/>
        <w:t>луги, ювелірна справа й будівництво. Щомісячна кількість наданих кредитів виросла до 5400 порівняно з 65 кредитами щомісяця в 1999 році. На кінець бе</w:t>
      </w:r>
      <w:r w:rsidRPr="00992EAE">
        <w:rPr>
          <w:sz w:val="28"/>
          <w:szCs w:val="28"/>
        </w:rPr>
        <w:softHyphen/>
        <w:t>резня 2004 року поточний кредитний портфель Програми мікрокредитування в Україні становив 30000 кредитів на суму 125 млн дол.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Середній розмір кожного наданого кредиту постійно зменшується. У 1999 році середній розмір кредиту становив 14500 дол, тоді як 2003 року середня сума наданого кредиту дорівнювала 5000 дол. Це свідчить про поліпшення доступу до кредитування для найнезначніших сегментів ринку, і на кінець березня 2004 ро</w:t>
      </w:r>
      <w:r w:rsidRPr="00992EAE">
        <w:rPr>
          <w:sz w:val="28"/>
          <w:szCs w:val="28"/>
        </w:rPr>
        <w:softHyphen/>
        <w:t>ку 77 % усіх поточних кредитів становили кредити на суму до 5000 дол. Така си</w:t>
      </w:r>
      <w:r w:rsidRPr="00992EAE">
        <w:rPr>
          <w:sz w:val="28"/>
          <w:szCs w:val="28"/>
        </w:rPr>
        <w:softHyphen/>
        <w:t>туація свідчить про зростання зацікавленості з боку банків-партнерів до цієї ці</w:t>
      </w:r>
      <w:r w:rsidRPr="00992EAE">
        <w:rPr>
          <w:sz w:val="28"/>
          <w:szCs w:val="28"/>
        </w:rPr>
        <w:softHyphen/>
        <w:t>льової групи, а також про зростання рівня поінформованості серед цільової групи п</w:t>
      </w:r>
      <w:r w:rsidR="007E17F4" w:rsidRPr="00992EAE">
        <w:rPr>
          <w:sz w:val="28"/>
          <w:szCs w:val="28"/>
        </w:rPr>
        <w:t>ро формальне фінансування мало;</w:t>
      </w:r>
      <w:r w:rsidRPr="00992EAE">
        <w:rPr>
          <w:sz w:val="28"/>
          <w:szCs w:val="28"/>
        </w:rPr>
        <w:t xml:space="preserve"> бізнесу.</w:t>
      </w:r>
    </w:p>
    <w:p w:rsidR="00834BEB" w:rsidRPr="00992EAE" w:rsidRDefault="00834BEB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У 2003 році банкам за кошти ЄБРР були видані кредити на суму близько 33 млн евро.</w:t>
      </w:r>
    </w:p>
    <w:p w:rsidR="00834BEB" w:rsidRPr="00992EAE" w:rsidRDefault="00834BEB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Наприклад, у 2004 році ЄБРР надав кредити Гостомельському склозаводу (17 млн дол). 2005 року компанія "Чумак" отримала довгостроковий кредит у розмірі 16 млн дол і кредит у розмірі 10 млн дол на поповнення обігового капі</w:t>
      </w:r>
      <w:r w:rsidRPr="00992EAE">
        <w:rPr>
          <w:sz w:val="28"/>
          <w:szCs w:val="28"/>
        </w:rPr>
        <w:softHyphen/>
        <w:t>талу. Кредит надано для нарощування складських і виробничих потужностей, а також на закупівлю сучасного пакувального устаткування. Крім того, він буде використаний на подальший розвиток торговельної марки "Чумак" і розширення асортименту продукції, а також на збільшення обігового капіталу компанії, що необхідно для підтримки зростання обсягу продажу.</w:t>
      </w:r>
    </w:p>
    <w:p w:rsidR="00834BEB" w:rsidRPr="00992EAE" w:rsidRDefault="00834BEB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Із останніх проектів можна відзначити відкриття кредитної лінії банку "Аваль" на 20 млн дол для фінансування агросфери й попереднє рішення на ви¬дачу 7,5 млн евро компанії Carton Ukraine і 20 млн евро для "Дніпроводоканалу".</w:t>
      </w:r>
    </w:p>
    <w:p w:rsidR="00834BEB" w:rsidRPr="00992EAE" w:rsidRDefault="00834BEB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17 жовтня 2005 року між ЄБРР і банком "Форум" було підписано пряму кредитну угоду про мікрокредитування проектів малого й середнього бізнесу в Україні. Загальна сума договору становить 7 млн дол на строк до 5 років без вимоги гарантій з боку Національного банку України.</w:t>
      </w:r>
    </w:p>
    <w:p w:rsidR="007F1E48" w:rsidRPr="00992EAE" w:rsidRDefault="007F1E48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Таблиця 2. Умови кредитування по лінії ЄБРР і Німецько-українського фонду</w:t>
      </w:r>
    </w:p>
    <w:tbl>
      <w:tblPr>
        <w:tblW w:w="93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7"/>
        <w:gridCol w:w="1865"/>
        <w:gridCol w:w="1642"/>
        <w:gridCol w:w="1878"/>
        <w:gridCol w:w="1392"/>
      </w:tblGrid>
      <w:tr w:rsidR="007F1E48" w:rsidRPr="00992EAE">
        <w:trPr>
          <w:trHeight w:hRule="exact" w:val="595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Умови кредитування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Програма мікрокредитування в Україні по лінії ЄБРР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Німецько-український фонд</w:t>
            </w:r>
          </w:p>
        </w:tc>
      </w:tr>
      <w:tr w:rsidR="007F1E48" w:rsidRPr="00992EAE">
        <w:trPr>
          <w:trHeight w:hRule="exact" w:val="360"/>
        </w:trPr>
        <w:tc>
          <w:tcPr>
            <w:tcW w:w="93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Мікрокредити</w:t>
            </w:r>
          </w:p>
        </w:tc>
      </w:tr>
      <w:tr w:rsidR="007F1E48" w:rsidRPr="00992EAE">
        <w:trPr>
          <w:trHeight w:hRule="exact" w:val="595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Індивідуальний розмір кредиту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100—20 000 дол (до ЗО 000 дол у виняткових випадках)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100—15 000 DM*</w:t>
            </w:r>
          </w:p>
        </w:tc>
      </w:tr>
      <w:tr w:rsidR="007F1E48" w:rsidRPr="00992EAE">
        <w:trPr>
          <w:trHeight w:hRule="exact" w:val="608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Валюта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гривні чи долари США або гривні, індексовані в долари США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DM (при можливості конвертації у гривні)</w:t>
            </w:r>
          </w:p>
        </w:tc>
      </w:tr>
      <w:tr w:rsidR="007F1E48" w:rsidRPr="00992EAE">
        <w:trPr>
          <w:trHeight w:hRule="exact" w:val="595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Відсоткова ставка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у гривнях: близько до ринкової у доларах США, нижча за ринкову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максимум 23 % річних</w:t>
            </w:r>
          </w:p>
        </w:tc>
      </w:tr>
      <w:tr w:rsidR="007F1E48" w:rsidRPr="00992EAE">
        <w:trPr>
          <w:trHeight w:hRule="exact" w:val="830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Види діяльності, які можуть бути профінансовані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торгівля, виробництво, послуги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торгівля, виробництво, послуги</w:t>
            </w:r>
          </w:p>
        </w:tc>
      </w:tr>
      <w:tr w:rsidR="007F1E48" w:rsidRPr="00992EAE">
        <w:trPr>
          <w:trHeight w:hRule="exact" w:val="595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Призначення кредиту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обіговий капітал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основний капітал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обіговий капітал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основний капітал</w:t>
            </w:r>
          </w:p>
        </w:tc>
      </w:tr>
      <w:tr w:rsidR="007F1E48" w:rsidRPr="00992EAE">
        <w:trPr>
          <w:trHeight w:hRule="exact" w:val="583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Термін погашення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до 6 місяців**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до 1,5 року**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2E646E" w:rsidP="00992EAE">
            <w:pPr>
              <w:spacing w:line="360" w:lineRule="auto"/>
              <w:ind w:firstLine="720"/>
              <w:jc w:val="both"/>
            </w:pPr>
            <w:r w:rsidRPr="00992EAE">
              <w:t>до 6 місяців**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2E646E" w:rsidP="00992EAE">
            <w:pPr>
              <w:spacing w:line="360" w:lineRule="auto"/>
              <w:ind w:firstLine="720"/>
              <w:jc w:val="both"/>
            </w:pPr>
            <w:r w:rsidRPr="00992EAE">
              <w:t>до 1,5 року**</w:t>
            </w:r>
          </w:p>
        </w:tc>
      </w:tr>
      <w:tr w:rsidR="007F1E48" w:rsidRPr="00992EAE">
        <w:trPr>
          <w:trHeight w:hRule="exact" w:val="632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Механізм погашення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рівні місячні внески (як правило)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рівні місячні внески (як правило)</w:t>
            </w:r>
          </w:p>
        </w:tc>
      </w:tr>
      <w:tr w:rsidR="007F1E48" w:rsidRPr="00992EAE">
        <w:trPr>
          <w:trHeight w:hRule="exact" w:val="595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Максимальна кількість працівників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20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20</w:t>
            </w:r>
          </w:p>
        </w:tc>
      </w:tr>
      <w:tr w:rsidR="007F1E48" w:rsidRPr="00992EAE">
        <w:trPr>
          <w:trHeight w:hRule="exact" w:val="692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Власність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переважно приватна й українська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переважно приватна</w:t>
            </w:r>
          </w:p>
        </w:tc>
      </w:tr>
      <w:tr w:rsidR="007F1E48" w:rsidRPr="00992EAE">
        <w:trPr>
          <w:trHeight w:hRule="exact" w:val="373"/>
        </w:trPr>
        <w:tc>
          <w:tcPr>
            <w:tcW w:w="93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Малі кредити</w:t>
            </w:r>
          </w:p>
        </w:tc>
      </w:tr>
      <w:tr w:rsidR="007F1E48" w:rsidRPr="00992EAE">
        <w:trPr>
          <w:trHeight w:hRule="exact" w:val="595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Індивідуальний розмір кредиту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20 000—75 000 дол (до 125 000 дол у виняткових випадках)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15-50 000 DM</w:t>
            </w:r>
          </w:p>
        </w:tc>
      </w:tr>
      <w:tr w:rsidR="007F1E48" w:rsidRPr="00992EAE">
        <w:trPr>
          <w:trHeight w:hRule="exact" w:val="820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Валюта*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гривні чи долари США або гривні, індексовані в долари США*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DM (при можливості конвертації у гривні)</w:t>
            </w:r>
          </w:p>
        </w:tc>
      </w:tr>
      <w:tr w:rsidR="007F1E48" w:rsidRPr="00992EAE">
        <w:trPr>
          <w:trHeight w:hRule="exact" w:val="844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Відсоткова ставка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у гривнях близько до ринкової у доларах США, макс   19 % (приблизно)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максимум 18 % річних</w:t>
            </w:r>
          </w:p>
        </w:tc>
      </w:tr>
      <w:tr w:rsidR="007F1E48" w:rsidRPr="00992EAE">
        <w:trPr>
          <w:trHeight w:hRule="exact" w:val="844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Види діяльності, які можуть бути профінансовані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торгівля (тільки основний капітал), виробництво, послуги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виробництво, послуги</w:t>
            </w:r>
          </w:p>
        </w:tc>
      </w:tr>
      <w:tr w:rsidR="007F1E48" w:rsidRPr="00992EAE">
        <w:trPr>
          <w:trHeight w:hRule="exact" w:val="612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Призначення кредиту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2E646E" w:rsidP="00992EAE">
            <w:pPr>
              <w:spacing w:line="360" w:lineRule="auto"/>
              <w:ind w:firstLine="720"/>
              <w:jc w:val="both"/>
            </w:pPr>
            <w:r w:rsidRPr="00992EAE">
              <w:t>до 6 місяців**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до 1,5 року**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2E646E" w:rsidP="00992EAE">
            <w:pPr>
              <w:spacing w:line="360" w:lineRule="auto"/>
              <w:ind w:firstLine="720"/>
              <w:jc w:val="both"/>
            </w:pPr>
            <w:r w:rsidRPr="00992EAE">
              <w:t>до 6 місяців**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2E646E" w:rsidP="00992EAE">
            <w:pPr>
              <w:spacing w:line="360" w:lineRule="auto"/>
              <w:ind w:firstLine="720"/>
              <w:jc w:val="both"/>
            </w:pPr>
            <w:r w:rsidRPr="00992EAE">
              <w:t>до 1,5 року**</w:t>
            </w:r>
          </w:p>
        </w:tc>
      </w:tr>
      <w:tr w:rsidR="007F1E48" w:rsidRPr="00992EAE">
        <w:trPr>
          <w:trHeight w:hRule="exact" w:val="535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Термін погашення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2E646E" w:rsidP="00992EAE">
            <w:pPr>
              <w:spacing w:line="360" w:lineRule="auto"/>
              <w:ind w:firstLine="720"/>
              <w:jc w:val="both"/>
            </w:pPr>
            <w:r w:rsidRPr="00992EAE">
              <w:t>до 6 місяців**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до 1,5 року**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2E646E" w:rsidP="00992EAE">
            <w:pPr>
              <w:spacing w:line="360" w:lineRule="auto"/>
              <w:ind w:firstLine="720"/>
              <w:jc w:val="both"/>
            </w:pPr>
            <w:r w:rsidRPr="00992EAE">
              <w:t>до 6 місяців**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2E646E" w:rsidP="00992EAE">
            <w:pPr>
              <w:spacing w:line="360" w:lineRule="auto"/>
              <w:ind w:firstLine="720"/>
              <w:jc w:val="both"/>
            </w:pPr>
            <w:r w:rsidRPr="00992EAE">
              <w:t>до 1,5 року**</w:t>
            </w:r>
          </w:p>
        </w:tc>
      </w:tr>
      <w:tr w:rsidR="007F1E48" w:rsidRPr="00992EAE">
        <w:trPr>
          <w:trHeight w:hRule="exact" w:val="593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Механізм погашення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рівні місячні внески (як правило)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рівні місячні внески (як правило)</w:t>
            </w:r>
          </w:p>
        </w:tc>
      </w:tr>
      <w:tr w:rsidR="007F1E48" w:rsidRPr="00992EAE">
        <w:trPr>
          <w:trHeight w:hRule="exact" w:val="608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Максимальна кількість працівників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100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250</w:t>
            </w:r>
          </w:p>
        </w:tc>
      </w:tr>
      <w:tr w:rsidR="007F1E48" w:rsidRPr="00992EAE">
        <w:trPr>
          <w:trHeight w:hRule="exact" w:val="682"/>
        </w:trPr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Власність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переважно приватна й українська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48" w:rsidRPr="00992EAE" w:rsidRDefault="007F1E48" w:rsidP="00992EAE">
            <w:pPr>
              <w:spacing w:line="360" w:lineRule="auto"/>
              <w:ind w:firstLine="720"/>
              <w:jc w:val="both"/>
            </w:pPr>
            <w:r w:rsidRPr="00992EAE">
              <w:t>переважно приватна</w:t>
            </w:r>
          </w:p>
        </w:tc>
      </w:tr>
    </w:tbl>
    <w:p w:rsidR="00834BEB" w:rsidRPr="00992EAE" w:rsidRDefault="00834BEB" w:rsidP="00992EAE">
      <w:pPr>
        <w:spacing w:line="360" w:lineRule="auto"/>
        <w:ind w:firstLine="720"/>
        <w:jc w:val="both"/>
        <w:rPr>
          <w:sz w:val="28"/>
          <w:szCs w:val="28"/>
        </w:rPr>
      </w:pPr>
    </w:p>
    <w:p w:rsidR="002E646E" w:rsidRPr="00992EAE" w:rsidRDefault="002E646E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 xml:space="preserve">Банк "Форум" співпрацює з ЄБРР за програмами мікрофінансування вже п'ять років і надас мікрокредити приватним підприємцям та юридичним особам у сумі від 100 до 200 тис. дол на строк від 3 місяців до 4 років із пільговим початковим періодом погашення. За час співробітництва з ЄБРР банк "Форум" видав підприємцям України понад 7500 мікрокредитів на загальну суму, </w:t>
      </w:r>
      <w:r w:rsidR="007E17F4" w:rsidRPr="00992EAE">
        <w:rPr>
          <w:sz w:val="28"/>
          <w:szCs w:val="28"/>
        </w:rPr>
        <w:t>щ</w:t>
      </w:r>
      <w:r w:rsidRPr="00992EAE">
        <w:rPr>
          <w:sz w:val="28"/>
          <w:szCs w:val="28"/>
        </w:rPr>
        <w:t>о перевищує 40 млн дол.</w:t>
      </w:r>
    </w:p>
    <w:p w:rsidR="002E646E" w:rsidRPr="00992EAE" w:rsidRDefault="002E646E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ЄБРР активно співпрацює з українськими фінансовими установами (у різних кредитних лініях беруть участь до 10 комерційних банків) у частині проектів мікрокредитування й кредитування малого і середнього бізнесу.</w:t>
      </w:r>
    </w:p>
    <w:p w:rsidR="002E646E" w:rsidRPr="00992EAE" w:rsidRDefault="002E646E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Отже, пріоритетом для ЄБРР в Україні є приватний бізнес, агросфера, банківський бізнес, транспортна інфраструктура, безпека АЕС і енергоефек-тивність. І вже нині прогнозується збільшення більш ніж удвічі обсягу кредитування для України.</w:t>
      </w:r>
    </w:p>
    <w:p w:rsidR="002E646E" w:rsidRPr="00992EAE" w:rsidRDefault="002E646E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Наостанок скажемо, що через нестабільніст</w:t>
      </w:r>
      <w:r w:rsidR="007E17F4" w:rsidRPr="00992EAE">
        <w:rPr>
          <w:sz w:val="28"/>
          <w:szCs w:val="28"/>
        </w:rPr>
        <w:t>ь фінансового середовища україн</w:t>
      </w:r>
      <w:r w:rsidRPr="00992EAE">
        <w:rPr>
          <w:sz w:val="28"/>
          <w:szCs w:val="28"/>
        </w:rPr>
        <w:t>ські комерційні банки практично не кредитують реального сектору, зосередивши свої основні зусилля на сегментах ринку, які м</w:t>
      </w:r>
      <w:r w:rsidR="007E17F4" w:rsidRPr="00992EAE">
        <w:rPr>
          <w:sz w:val="28"/>
          <w:szCs w:val="28"/>
        </w:rPr>
        <w:t>ожуть забезпечити швидку ліквід</w:t>
      </w:r>
      <w:r w:rsidRPr="00992EAE">
        <w:rPr>
          <w:sz w:val="28"/>
          <w:szCs w:val="28"/>
        </w:rPr>
        <w:t>ність і високий прибуток. Здебільшого це операці</w:t>
      </w:r>
      <w:r w:rsidR="007E17F4" w:rsidRPr="00992EAE">
        <w:rPr>
          <w:sz w:val="28"/>
          <w:szCs w:val="28"/>
        </w:rPr>
        <w:t>ї на валютному ринку та обіг го</w:t>
      </w:r>
      <w:r w:rsidRPr="00992EAE">
        <w:rPr>
          <w:sz w:val="28"/>
          <w:szCs w:val="28"/>
        </w:rPr>
        <w:t>тівки, а також обслуговування торговельно-закупівельних операцій. Це скорочує і так незначні фінансові потоки у виробництво. Не</w:t>
      </w:r>
      <w:r w:rsidR="007E17F4" w:rsidRPr="00992EAE">
        <w:rPr>
          <w:sz w:val="28"/>
          <w:szCs w:val="28"/>
        </w:rPr>
        <w:t>гативну роль відіграло й надмір</w:t>
      </w:r>
      <w:r w:rsidRPr="00992EAE">
        <w:rPr>
          <w:sz w:val="28"/>
          <w:szCs w:val="28"/>
        </w:rPr>
        <w:t>не державне споживання, що унеможливило залу</w:t>
      </w:r>
      <w:r w:rsidR="007E17F4" w:rsidRPr="00992EAE">
        <w:rPr>
          <w:sz w:val="28"/>
          <w:szCs w:val="28"/>
        </w:rPr>
        <w:t>чення зовнішніх кредитів із між</w:t>
      </w:r>
      <w:r w:rsidRPr="00992EAE">
        <w:rPr>
          <w:sz w:val="28"/>
          <w:szCs w:val="28"/>
        </w:rPr>
        <w:t>народного ринку капіталів, синдикованих кредитів на прийнятних комерційних умовах як державою, так і українськими банкам</w:t>
      </w:r>
      <w:r w:rsidR="007E17F4" w:rsidRPr="00992EAE">
        <w:rPr>
          <w:sz w:val="28"/>
          <w:szCs w:val="28"/>
        </w:rPr>
        <w:t>и, а також становище, що склало</w:t>
      </w:r>
      <w:r w:rsidRPr="00992EAE">
        <w:rPr>
          <w:sz w:val="28"/>
          <w:szCs w:val="28"/>
        </w:rPr>
        <w:t>ся на внутрішньому ринку цінних паперів.</w:t>
      </w:r>
    </w:p>
    <w:p w:rsidR="007F1E48" w:rsidRPr="00992EAE" w:rsidRDefault="002E646E" w:rsidP="00992EAE">
      <w:pPr>
        <w:spacing w:line="360" w:lineRule="auto"/>
        <w:ind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Водночас обмежені можливості державного</w:t>
      </w:r>
      <w:r w:rsidR="007E17F4" w:rsidRPr="00992EAE">
        <w:rPr>
          <w:sz w:val="28"/>
          <w:szCs w:val="28"/>
        </w:rPr>
        <w:t xml:space="preserve"> бюджету не дають змоги здійсню</w:t>
      </w:r>
      <w:r w:rsidRPr="00992EAE">
        <w:rPr>
          <w:sz w:val="28"/>
          <w:szCs w:val="28"/>
        </w:rPr>
        <w:t>вати необхідні капітальні вкладення і створити умови для налагод</w:t>
      </w:r>
      <w:r w:rsidR="007E17F4" w:rsidRPr="00992EAE">
        <w:rPr>
          <w:sz w:val="28"/>
          <w:szCs w:val="28"/>
        </w:rPr>
        <w:t>ження інвести</w:t>
      </w:r>
      <w:r w:rsidRPr="00992EAE">
        <w:rPr>
          <w:sz w:val="28"/>
          <w:szCs w:val="28"/>
        </w:rPr>
        <w:t>ційного процесу в Україні.</w:t>
      </w:r>
    </w:p>
    <w:p w:rsidR="007E17F4" w:rsidRDefault="007E17F4" w:rsidP="00992EAE">
      <w:pPr>
        <w:tabs>
          <w:tab w:val="num" w:pos="1134"/>
        </w:tabs>
        <w:spacing w:line="360" w:lineRule="auto"/>
        <w:ind w:firstLine="720"/>
        <w:jc w:val="center"/>
        <w:rPr>
          <w:sz w:val="28"/>
          <w:szCs w:val="28"/>
          <w:lang w:val="ru-RU"/>
        </w:rPr>
      </w:pPr>
      <w:r w:rsidRPr="00992EAE">
        <w:rPr>
          <w:sz w:val="28"/>
          <w:szCs w:val="28"/>
        </w:rPr>
        <w:br w:type="page"/>
        <w:t>ЛІТЕРАТУРА</w:t>
      </w:r>
    </w:p>
    <w:p w:rsidR="00992EAE" w:rsidRPr="00992EAE" w:rsidRDefault="00992EAE" w:rsidP="00992EAE">
      <w:pPr>
        <w:tabs>
          <w:tab w:val="num" w:pos="1134"/>
        </w:tabs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2E646E" w:rsidRPr="00992EAE" w:rsidRDefault="002E646E" w:rsidP="00992EAE">
      <w:pPr>
        <w:numPr>
          <w:ilvl w:val="0"/>
          <w:numId w:val="10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Владичим У.В. Роль кредитування в економічному зро</w:t>
      </w:r>
      <w:r w:rsidR="007E17F4" w:rsidRPr="00992EAE">
        <w:rPr>
          <w:sz w:val="28"/>
          <w:szCs w:val="28"/>
        </w:rPr>
        <w:t>станні України // Фінанси Украї</w:t>
      </w:r>
      <w:r w:rsidRPr="00992EAE">
        <w:rPr>
          <w:sz w:val="28"/>
          <w:szCs w:val="28"/>
        </w:rPr>
        <w:t>ни. - 2004. — № 1. — С 96.</w:t>
      </w:r>
    </w:p>
    <w:p w:rsidR="002E646E" w:rsidRPr="00992EAE" w:rsidRDefault="002E646E" w:rsidP="00992EAE">
      <w:pPr>
        <w:numPr>
          <w:ilvl w:val="0"/>
          <w:numId w:val="10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Бобров Є.А. Сучасний стан і перспективи розвитку кредитування малого бізнесу // Фінан</w:t>
      </w:r>
      <w:r w:rsidRPr="00992EAE">
        <w:rPr>
          <w:sz w:val="28"/>
          <w:szCs w:val="28"/>
        </w:rPr>
        <w:softHyphen/>
        <w:t>си України. - 2004. - № І. - С 104-105.</w:t>
      </w:r>
    </w:p>
    <w:p w:rsidR="002E646E" w:rsidRPr="00992EAE" w:rsidRDefault="002E646E" w:rsidP="00992EAE">
      <w:pPr>
        <w:numPr>
          <w:ilvl w:val="0"/>
          <w:numId w:val="10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Кривоног О.Л. Банківське кредитування малих підприємств // Фінанси України. — 2005. — № 8.-С 101-105.</w:t>
      </w:r>
    </w:p>
    <w:p w:rsidR="002E646E" w:rsidRPr="00992EAE" w:rsidRDefault="002E646E" w:rsidP="00992EAE">
      <w:pPr>
        <w:numPr>
          <w:ilvl w:val="0"/>
          <w:numId w:val="10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Фінанси підприємств: Підручник / Керівник авт. кол. і наук. ред. проф. Поддєрьогін A.M. — К.: НЕУ, 2000. - С. 440.</w:t>
      </w:r>
    </w:p>
    <w:p w:rsidR="002E646E" w:rsidRPr="00992EAE" w:rsidRDefault="002E646E" w:rsidP="00992EAE">
      <w:pPr>
        <w:numPr>
          <w:ilvl w:val="0"/>
          <w:numId w:val="10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Руденко Л.В. Розрахункові та кредитні операції у зовні</w:t>
      </w:r>
      <w:r w:rsidR="00834BEB" w:rsidRPr="00992EAE">
        <w:rPr>
          <w:sz w:val="28"/>
          <w:szCs w:val="28"/>
        </w:rPr>
        <w:t>шньоекономічній діяльності підприє</w:t>
      </w:r>
      <w:r w:rsidRPr="00992EAE">
        <w:rPr>
          <w:sz w:val="28"/>
          <w:szCs w:val="28"/>
        </w:rPr>
        <w:t>мства: Підручник. — К.: Лібра, 2002. — С. 164.</w:t>
      </w:r>
    </w:p>
    <w:p w:rsidR="002E646E" w:rsidRPr="00992EAE" w:rsidRDefault="002E646E" w:rsidP="00992EAE">
      <w:pPr>
        <w:numPr>
          <w:ilvl w:val="0"/>
          <w:numId w:val="10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2EAE">
        <w:rPr>
          <w:sz w:val="28"/>
          <w:szCs w:val="28"/>
        </w:rPr>
        <w:t>Руденко Л.В. Залучення зовнішніх кредитів як фактор формування інфраструктури про</w:t>
      </w:r>
      <w:r w:rsidRPr="00992EAE">
        <w:rPr>
          <w:sz w:val="28"/>
          <w:szCs w:val="28"/>
        </w:rPr>
        <w:softHyphen/>
        <w:t>мисловості та економічної стабілізації України. Економіка: проблеми теорії та практика // Міжвуз. зб. наук, праць. — Вип. 24. — Дніпропетровськ: Наука і освіта, 2000. — С. 3—10.</w:t>
      </w:r>
    </w:p>
    <w:p w:rsidR="002E646E" w:rsidRPr="00992EAE" w:rsidRDefault="002E646E" w:rsidP="00992EAE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2E646E" w:rsidRPr="00992EAE" w:rsidSect="00992EAE">
      <w:pgSz w:w="11909" w:h="16834"/>
      <w:pgMar w:top="1134" w:right="850" w:bottom="1134" w:left="1701" w:header="709" w:footer="709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1C24AA6"/>
    <w:lvl w:ilvl="0">
      <w:numFmt w:val="bullet"/>
      <w:lvlText w:val="*"/>
      <w:lvlJc w:val="left"/>
    </w:lvl>
  </w:abstractNum>
  <w:abstractNum w:abstractNumId="1">
    <w:nsid w:val="109C5A6F"/>
    <w:multiLevelType w:val="singleLevel"/>
    <w:tmpl w:val="201295AE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">
    <w:nsid w:val="1668515B"/>
    <w:multiLevelType w:val="hybridMultilevel"/>
    <w:tmpl w:val="B90A3AC4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67654D9"/>
    <w:multiLevelType w:val="hybridMultilevel"/>
    <w:tmpl w:val="B60EC098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7A55926"/>
    <w:multiLevelType w:val="hybridMultilevel"/>
    <w:tmpl w:val="327886CC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8317E17"/>
    <w:multiLevelType w:val="singleLevel"/>
    <w:tmpl w:val="09D2108C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">
    <w:nsid w:val="6F3B69FB"/>
    <w:multiLevelType w:val="hybridMultilevel"/>
    <w:tmpl w:val="009CD4FC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F8F0909"/>
    <w:multiLevelType w:val="singleLevel"/>
    <w:tmpl w:val="84564DCE"/>
    <w:lvl w:ilvl="0">
      <w:start w:val="3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8">
    <w:nsid w:val="7FB94103"/>
    <w:multiLevelType w:val="hybridMultilevel"/>
    <w:tmpl w:val="BB8EA818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46E"/>
    <w:rsid w:val="000E3566"/>
    <w:rsid w:val="00130DD8"/>
    <w:rsid w:val="0015380D"/>
    <w:rsid w:val="002E646E"/>
    <w:rsid w:val="00431575"/>
    <w:rsid w:val="00455B55"/>
    <w:rsid w:val="004825EB"/>
    <w:rsid w:val="007E17F4"/>
    <w:rsid w:val="007F1E48"/>
    <w:rsid w:val="00834BEB"/>
    <w:rsid w:val="00992EAE"/>
    <w:rsid w:val="00D1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4C6E05C-099C-418C-BC94-8AF57E3B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2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Основними кредиторами на сучасному етапі є міжнародні й регіональні валютно-фінансові організації</vt:lpstr>
    </vt:vector>
  </TitlesOfParts>
  <Company>Kiss</Company>
  <LinksUpToDate>false</LinksUpToDate>
  <CharactersWithSpaces>21001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Основними кредиторами на сучасному етапі є міжнародні й регіональні валютно-фінансові організації</dc:title>
  <dc:subject/>
  <dc:creator>Peck</dc:creator>
  <cp:keywords/>
  <dc:description/>
  <cp:lastModifiedBy>admin</cp:lastModifiedBy>
  <cp:revision>2</cp:revision>
  <dcterms:created xsi:type="dcterms:W3CDTF">2014-02-28T07:59:00Z</dcterms:created>
  <dcterms:modified xsi:type="dcterms:W3CDTF">2014-02-28T07:59:00Z</dcterms:modified>
</cp:coreProperties>
</file>