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EE0" w:rsidRDefault="00012EE0">
      <w:pPr>
        <w:jc w:val="center"/>
        <w:rPr>
          <w:sz w:val="24"/>
          <w:lang w:val="uk-UA"/>
        </w:rPr>
      </w:pPr>
    </w:p>
    <w:p w:rsidR="00012EE0" w:rsidRDefault="00012EE0">
      <w:pPr>
        <w:jc w:val="center"/>
        <w:rPr>
          <w:b/>
          <w:sz w:val="24"/>
          <w:lang w:val="uk-UA"/>
        </w:rPr>
      </w:pPr>
      <w:r>
        <w:rPr>
          <w:b/>
          <w:sz w:val="24"/>
          <w:lang w:val="uk-UA"/>
        </w:rPr>
        <w:t>Міністерство освіти України</w:t>
      </w:r>
    </w:p>
    <w:p w:rsidR="00012EE0" w:rsidRDefault="00012EE0">
      <w:pPr>
        <w:jc w:val="center"/>
        <w:rPr>
          <w:b/>
          <w:sz w:val="24"/>
          <w:lang w:val="uk-UA"/>
        </w:rPr>
      </w:pPr>
    </w:p>
    <w:p w:rsidR="00012EE0" w:rsidRDefault="00012EE0">
      <w:pPr>
        <w:jc w:val="center"/>
        <w:rPr>
          <w:b/>
          <w:sz w:val="24"/>
          <w:lang w:val="uk-UA"/>
        </w:rPr>
      </w:pPr>
      <w:r>
        <w:rPr>
          <w:b/>
          <w:sz w:val="24"/>
          <w:lang w:val="uk-UA"/>
        </w:rPr>
        <w:t>Державний Дніпропетровський Університет</w:t>
      </w:r>
    </w:p>
    <w:p w:rsidR="00012EE0" w:rsidRDefault="00012EE0">
      <w:pPr>
        <w:jc w:val="center"/>
        <w:rPr>
          <w:b/>
          <w:sz w:val="24"/>
          <w:lang w:val="uk-UA"/>
        </w:rPr>
      </w:pPr>
    </w:p>
    <w:p w:rsidR="00012EE0" w:rsidRDefault="00012EE0">
      <w:pPr>
        <w:jc w:val="center"/>
        <w:rPr>
          <w:b/>
          <w:sz w:val="24"/>
          <w:lang w:val="uk-UA"/>
        </w:rPr>
      </w:pPr>
      <w:r>
        <w:rPr>
          <w:b/>
          <w:sz w:val="24"/>
          <w:lang w:val="uk-UA"/>
        </w:rPr>
        <w:t>Інститут довузівської підготовки і післядипломної освіти</w:t>
      </w:r>
    </w:p>
    <w:p w:rsidR="00012EE0" w:rsidRDefault="00012EE0">
      <w:pPr>
        <w:jc w:val="center"/>
        <w:rPr>
          <w:b/>
          <w:sz w:val="24"/>
          <w:lang w:val="uk-UA"/>
        </w:rPr>
      </w:pPr>
    </w:p>
    <w:p w:rsidR="00012EE0" w:rsidRDefault="00012EE0">
      <w:pPr>
        <w:jc w:val="center"/>
        <w:rPr>
          <w:b/>
          <w:sz w:val="24"/>
          <w:lang w:val="uk-UA"/>
        </w:rPr>
      </w:pPr>
      <w:r>
        <w:rPr>
          <w:b/>
          <w:sz w:val="24"/>
          <w:lang w:val="uk-UA"/>
        </w:rPr>
        <w:t>Факультет перепідготовки спеціалістів</w:t>
      </w:r>
    </w:p>
    <w:p w:rsidR="00012EE0" w:rsidRDefault="00012EE0">
      <w:pPr>
        <w:jc w:val="center"/>
        <w:rPr>
          <w:b/>
          <w:sz w:val="24"/>
          <w:lang w:val="uk-UA"/>
        </w:rPr>
      </w:pPr>
    </w:p>
    <w:p w:rsidR="00012EE0" w:rsidRDefault="00012EE0">
      <w:pPr>
        <w:jc w:val="center"/>
        <w:rPr>
          <w:b/>
          <w:sz w:val="24"/>
          <w:lang w:val="uk-UA"/>
        </w:rPr>
      </w:pPr>
      <w:r>
        <w:rPr>
          <w:b/>
          <w:sz w:val="24"/>
          <w:lang w:val="uk-UA"/>
        </w:rPr>
        <w:t>спеціальність “Банківська справа”</w:t>
      </w:r>
    </w:p>
    <w:p w:rsidR="00012EE0" w:rsidRDefault="00012EE0">
      <w:pPr>
        <w:rPr>
          <w:sz w:val="24"/>
          <w:lang w:val="uk-UA"/>
        </w:rPr>
      </w:pPr>
    </w:p>
    <w:p w:rsidR="00012EE0" w:rsidRDefault="00012EE0">
      <w:pPr>
        <w:rPr>
          <w:lang w:val="uk-UA"/>
        </w:rPr>
      </w:pPr>
    </w:p>
    <w:p w:rsidR="00012EE0" w:rsidRDefault="00012EE0">
      <w:pPr>
        <w:rPr>
          <w:lang w:val="uk-UA"/>
        </w:rPr>
      </w:pPr>
    </w:p>
    <w:p w:rsidR="00012EE0" w:rsidRDefault="00012EE0">
      <w:pPr>
        <w:rPr>
          <w:lang w:val="uk-UA"/>
        </w:rPr>
      </w:pPr>
    </w:p>
    <w:p w:rsidR="00012EE0" w:rsidRDefault="00012EE0">
      <w:pPr>
        <w:pStyle w:val="1"/>
      </w:pPr>
    </w:p>
    <w:p w:rsidR="00012EE0" w:rsidRDefault="00012EE0">
      <w:pPr>
        <w:pStyle w:val="1"/>
      </w:pPr>
    </w:p>
    <w:p w:rsidR="00012EE0" w:rsidRDefault="00012EE0">
      <w:pPr>
        <w:pStyle w:val="1"/>
      </w:pPr>
    </w:p>
    <w:p w:rsidR="00012EE0" w:rsidRDefault="00012EE0">
      <w:pPr>
        <w:pStyle w:val="1"/>
      </w:pPr>
    </w:p>
    <w:p w:rsidR="00012EE0" w:rsidRDefault="00012EE0">
      <w:pPr>
        <w:ind w:left="2160" w:firstLine="720"/>
        <w:rPr>
          <w:b/>
          <w:sz w:val="28"/>
          <w:lang w:val="uk-UA"/>
        </w:rPr>
      </w:pPr>
      <w:r>
        <w:rPr>
          <w:b/>
          <w:sz w:val="28"/>
          <w:lang w:val="uk-UA"/>
        </w:rPr>
        <w:t xml:space="preserve">РЕФЕРАТ </w:t>
      </w:r>
    </w:p>
    <w:p w:rsidR="00012EE0" w:rsidRDefault="00012EE0">
      <w:pPr>
        <w:ind w:left="1440" w:firstLine="720"/>
        <w:rPr>
          <w:b/>
          <w:sz w:val="28"/>
          <w:lang w:val="uk-UA"/>
        </w:rPr>
      </w:pPr>
    </w:p>
    <w:p w:rsidR="00012EE0" w:rsidRDefault="00012EE0">
      <w:pPr>
        <w:pStyle w:val="a3"/>
        <w:ind w:right="-483"/>
        <w:rPr>
          <w:sz w:val="36"/>
        </w:rPr>
      </w:pPr>
      <w:r>
        <w:rPr>
          <w:sz w:val="36"/>
        </w:rPr>
        <w:t>З дисципліни: Фінансове право</w:t>
      </w:r>
    </w:p>
    <w:p w:rsidR="00012EE0" w:rsidRDefault="00012EE0">
      <w:pPr>
        <w:pStyle w:val="21"/>
      </w:pPr>
      <w:r>
        <w:t>Тема: Правове регулювання оподаткування операцій з цінними паперами в Україні.</w:t>
      </w:r>
    </w:p>
    <w:p w:rsidR="00012EE0" w:rsidRDefault="00012EE0">
      <w:pPr>
        <w:ind w:left="1440" w:firstLine="720"/>
        <w:rPr>
          <w:b/>
          <w:sz w:val="28"/>
          <w:lang w:val="uk-UA"/>
        </w:rPr>
      </w:pPr>
    </w:p>
    <w:p w:rsidR="00012EE0" w:rsidRDefault="00012EE0">
      <w:pPr>
        <w:ind w:left="1440" w:firstLine="720"/>
        <w:rPr>
          <w:sz w:val="24"/>
          <w:lang w:val="uk-UA"/>
        </w:rPr>
      </w:pPr>
    </w:p>
    <w:p w:rsidR="00012EE0" w:rsidRDefault="00012EE0">
      <w:pPr>
        <w:ind w:left="1440" w:firstLine="720"/>
        <w:rPr>
          <w:sz w:val="24"/>
          <w:lang w:val="uk-UA"/>
        </w:rPr>
      </w:pPr>
    </w:p>
    <w:p w:rsidR="00012EE0" w:rsidRDefault="00012EE0">
      <w:pPr>
        <w:ind w:left="1440" w:firstLine="720"/>
        <w:rPr>
          <w:sz w:val="24"/>
          <w:lang w:val="uk-UA"/>
        </w:rPr>
      </w:pPr>
    </w:p>
    <w:p w:rsidR="00012EE0" w:rsidRDefault="00012EE0">
      <w:pPr>
        <w:ind w:left="1440" w:firstLine="720"/>
        <w:rPr>
          <w:sz w:val="24"/>
          <w:lang w:val="uk-UA"/>
        </w:rPr>
      </w:pPr>
    </w:p>
    <w:p w:rsidR="00012EE0" w:rsidRDefault="00012EE0">
      <w:pPr>
        <w:ind w:left="1440" w:firstLine="720"/>
        <w:rPr>
          <w:sz w:val="24"/>
          <w:lang w:val="uk-UA"/>
        </w:rPr>
      </w:pPr>
    </w:p>
    <w:p w:rsidR="00012EE0" w:rsidRDefault="00012EE0">
      <w:pPr>
        <w:ind w:left="1440" w:firstLine="720"/>
        <w:rPr>
          <w:sz w:val="24"/>
          <w:lang w:val="uk-UA"/>
        </w:rPr>
      </w:pPr>
    </w:p>
    <w:p w:rsidR="00012EE0" w:rsidRDefault="00012EE0">
      <w:pPr>
        <w:ind w:left="5040"/>
        <w:rPr>
          <w:sz w:val="24"/>
          <w:lang w:val="uk-UA"/>
        </w:rPr>
      </w:pPr>
    </w:p>
    <w:p w:rsidR="00012EE0" w:rsidRDefault="00012EE0">
      <w:pPr>
        <w:ind w:left="5040"/>
        <w:rPr>
          <w:sz w:val="24"/>
          <w:lang w:val="uk-UA"/>
        </w:rPr>
      </w:pPr>
    </w:p>
    <w:p w:rsidR="00012EE0" w:rsidRDefault="00012EE0">
      <w:pPr>
        <w:ind w:left="5040"/>
        <w:rPr>
          <w:sz w:val="24"/>
          <w:lang w:val="uk-UA"/>
        </w:rPr>
      </w:pPr>
    </w:p>
    <w:p w:rsidR="00012EE0" w:rsidRDefault="00012EE0">
      <w:pPr>
        <w:ind w:left="5040"/>
        <w:rPr>
          <w:sz w:val="24"/>
          <w:lang w:val="uk-UA"/>
        </w:rPr>
      </w:pPr>
      <w:r>
        <w:rPr>
          <w:b/>
          <w:sz w:val="24"/>
          <w:lang w:val="uk-UA"/>
        </w:rPr>
        <w:t>виконав</w:t>
      </w:r>
      <w:r>
        <w:rPr>
          <w:sz w:val="24"/>
          <w:lang w:val="uk-UA"/>
        </w:rPr>
        <w:t>: слухач групи БС-98з</w:t>
      </w:r>
    </w:p>
    <w:p w:rsidR="00012EE0" w:rsidRDefault="00012EE0">
      <w:pPr>
        <w:ind w:left="1440" w:firstLine="720"/>
        <w:rPr>
          <w:sz w:val="24"/>
          <w:lang w:val="uk-UA"/>
        </w:rPr>
      </w:pPr>
      <w:r>
        <w:rPr>
          <w:sz w:val="24"/>
          <w:lang w:val="uk-UA"/>
        </w:rPr>
        <w:tab/>
      </w:r>
      <w:r>
        <w:rPr>
          <w:sz w:val="24"/>
          <w:lang w:val="uk-UA"/>
        </w:rPr>
        <w:tab/>
      </w:r>
      <w:r>
        <w:rPr>
          <w:sz w:val="24"/>
          <w:lang w:val="uk-UA"/>
        </w:rPr>
        <w:tab/>
      </w:r>
      <w:r>
        <w:rPr>
          <w:sz w:val="24"/>
          <w:lang w:val="uk-UA"/>
        </w:rPr>
        <w:tab/>
        <w:t>Канд.техн.наук Шеєнко М.І.</w:t>
      </w:r>
    </w:p>
    <w:p w:rsidR="00012EE0" w:rsidRDefault="00012EE0">
      <w:pPr>
        <w:ind w:left="1440" w:firstLine="720"/>
        <w:rPr>
          <w:sz w:val="24"/>
          <w:lang w:val="uk-UA"/>
        </w:rPr>
      </w:pPr>
      <w:r>
        <w:rPr>
          <w:sz w:val="24"/>
          <w:lang w:val="uk-UA"/>
        </w:rPr>
        <w:tab/>
      </w:r>
      <w:r>
        <w:rPr>
          <w:sz w:val="24"/>
          <w:lang w:val="uk-UA"/>
        </w:rPr>
        <w:tab/>
      </w:r>
      <w:r>
        <w:rPr>
          <w:sz w:val="24"/>
          <w:lang w:val="uk-UA"/>
        </w:rPr>
        <w:tab/>
      </w:r>
      <w:r>
        <w:rPr>
          <w:sz w:val="24"/>
          <w:lang w:val="uk-UA"/>
        </w:rPr>
        <w:tab/>
        <w:t>залікова книжка № 98-24-21</w:t>
      </w:r>
    </w:p>
    <w:p w:rsidR="00012EE0" w:rsidRDefault="00012EE0">
      <w:pPr>
        <w:ind w:left="4320" w:firstLine="720"/>
        <w:rPr>
          <w:sz w:val="24"/>
          <w:lang w:val="uk-UA"/>
        </w:rPr>
      </w:pPr>
      <w:r>
        <w:rPr>
          <w:b/>
          <w:sz w:val="24"/>
          <w:lang w:val="uk-UA"/>
        </w:rPr>
        <w:t>перевірив</w:t>
      </w:r>
      <w:r>
        <w:rPr>
          <w:sz w:val="24"/>
          <w:lang w:val="uk-UA"/>
        </w:rPr>
        <w:t>: ст. викладач</w:t>
      </w:r>
    </w:p>
    <w:p w:rsidR="00012EE0" w:rsidRDefault="00012EE0">
      <w:pPr>
        <w:ind w:left="4320" w:firstLine="720"/>
        <w:rPr>
          <w:sz w:val="24"/>
          <w:lang w:val="uk-UA"/>
        </w:rPr>
      </w:pPr>
      <w:r>
        <w:rPr>
          <w:sz w:val="24"/>
          <w:lang w:val="uk-UA"/>
        </w:rPr>
        <w:t>Мізіна І.В.</w:t>
      </w:r>
    </w:p>
    <w:p w:rsidR="00012EE0" w:rsidRDefault="00012EE0">
      <w:pPr>
        <w:ind w:left="1440" w:firstLine="720"/>
        <w:rPr>
          <w:sz w:val="24"/>
          <w:lang w:val="uk-UA"/>
        </w:rPr>
      </w:pPr>
    </w:p>
    <w:p w:rsidR="00012EE0" w:rsidRDefault="00012EE0">
      <w:pPr>
        <w:ind w:left="1440" w:firstLine="720"/>
        <w:rPr>
          <w:sz w:val="24"/>
          <w:lang w:val="uk-UA"/>
        </w:rPr>
      </w:pPr>
    </w:p>
    <w:p w:rsidR="00012EE0" w:rsidRDefault="00012EE0">
      <w:pPr>
        <w:ind w:left="1440" w:firstLine="720"/>
        <w:rPr>
          <w:sz w:val="24"/>
          <w:lang w:val="uk-UA"/>
        </w:rPr>
      </w:pPr>
    </w:p>
    <w:p w:rsidR="00012EE0" w:rsidRDefault="00012EE0">
      <w:pPr>
        <w:ind w:left="1440" w:firstLine="720"/>
        <w:rPr>
          <w:sz w:val="24"/>
          <w:lang w:val="uk-UA"/>
        </w:rPr>
      </w:pPr>
    </w:p>
    <w:p w:rsidR="00012EE0" w:rsidRDefault="00012EE0">
      <w:pPr>
        <w:ind w:left="2160" w:firstLine="720"/>
        <w:rPr>
          <w:sz w:val="24"/>
          <w:lang w:val="uk-UA"/>
        </w:rPr>
      </w:pPr>
      <w:r>
        <w:rPr>
          <w:sz w:val="24"/>
          <w:lang w:val="uk-UA"/>
        </w:rPr>
        <w:t>м. Дніпропетровськ</w:t>
      </w:r>
    </w:p>
    <w:p w:rsidR="00012EE0" w:rsidRDefault="00012EE0">
      <w:pPr>
        <w:ind w:left="2880" w:firstLine="720"/>
        <w:rPr>
          <w:sz w:val="24"/>
          <w:lang w:val="uk-UA"/>
        </w:rPr>
      </w:pPr>
      <w:r>
        <w:rPr>
          <w:sz w:val="24"/>
          <w:lang w:val="uk-UA"/>
        </w:rPr>
        <w:t>2000 р.</w:t>
      </w:r>
    </w:p>
    <w:p w:rsidR="00012EE0" w:rsidRDefault="00012EE0">
      <w:pPr>
        <w:pStyle w:val="10"/>
        <w:tabs>
          <w:tab w:val="right" w:leader="dot" w:pos="8296"/>
        </w:tabs>
      </w:pPr>
    </w:p>
    <w:p w:rsidR="00012EE0" w:rsidRDefault="00012EE0">
      <w:pPr>
        <w:pStyle w:val="10"/>
        <w:tabs>
          <w:tab w:val="right" w:leader="dot" w:pos="8296"/>
        </w:tabs>
        <w:rPr>
          <w:noProof/>
        </w:rPr>
      </w:pPr>
      <w:r>
        <w:rPr>
          <w:noProof/>
        </w:rPr>
        <w:t>Введение</w:t>
      </w:r>
      <w:r>
        <w:rPr>
          <w:noProof/>
        </w:rPr>
        <w:tab/>
        <w:t>2</w:t>
      </w:r>
    </w:p>
    <w:p w:rsidR="00012EE0" w:rsidRDefault="00012EE0">
      <w:pPr>
        <w:pStyle w:val="10"/>
        <w:tabs>
          <w:tab w:val="right" w:leader="dot" w:pos="8296"/>
        </w:tabs>
        <w:rPr>
          <w:noProof/>
        </w:rPr>
      </w:pPr>
      <w:r>
        <w:rPr>
          <w:noProof/>
        </w:rPr>
        <w:t>НАЛОГООБЛОЖЕНИЕ НА РЫНКЕ ЦЕННЫХ БУМАГ</w:t>
      </w:r>
      <w:r>
        <w:rPr>
          <w:noProof/>
        </w:rPr>
        <w:tab/>
        <w:t>3</w:t>
      </w:r>
    </w:p>
    <w:p w:rsidR="00012EE0" w:rsidRDefault="00012EE0">
      <w:pPr>
        <w:pStyle w:val="22"/>
        <w:tabs>
          <w:tab w:val="right" w:leader="dot" w:pos="8296"/>
        </w:tabs>
        <w:rPr>
          <w:noProof/>
        </w:rPr>
      </w:pPr>
      <w:r>
        <w:rPr>
          <w:noProof/>
        </w:rPr>
        <w:t>ПОДОХОДНЫЙ НАЛОГ С ФИЗИЧЕСКИХ ЛИЦ</w:t>
      </w:r>
      <w:r>
        <w:rPr>
          <w:noProof/>
        </w:rPr>
        <w:tab/>
        <w:t>4</w:t>
      </w:r>
    </w:p>
    <w:p w:rsidR="00012EE0" w:rsidRDefault="00012EE0">
      <w:pPr>
        <w:pStyle w:val="22"/>
        <w:tabs>
          <w:tab w:val="right" w:leader="dot" w:pos="8296"/>
        </w:tabs>
        <w:rPr>
          <w:noProof/>
        </w:rPr>
      </w:pPr>
      <w:r>
        <w:rPr>
          <w:noProof/>
        </w:rPr>
        <w:t>НАЛОГ НА ПРИБЫЛЬ ПРЕДПРИЯТИЙ</w:t>
      </w:r>
      <w:r>
        <w:rPr>
          <w:noProof/>
        </w:rPr>
        <w:tab/>
        <w:t>8</w:t>
      </w:r>
    </w:p>
    <w:p w:rsidR="00012EE0" w:rsidRDefault="00012EE0">
      <w:pPr>
        <w:pStyle w:val="22"/>
        <w:tabs>
          <w:tab w:val="right" w:leader="dot" w:pos="8296"/>
        </w:tabs>
        <w:rPr>
          <w:noProof/>
        </w:rPr>
      </w:pPr>
      <w:r>
        <w:rPr>
          <w:noProof/>
        </w:rPr>
        <w:t>ГОСПОШЛИНА</w:t>
      </w:r>
      <w:r>
        <w:rPr>
          <w:noProof/>
        </w:rPr>
        <w:tab/>
        <w:t>9</w:t>
      </w:r>
    </w:p>
    <w:p w:rsidR="00012EE0" w:rsidRDefault="00012EE0">
      <w:pPr>
        <w:pStyle w:val="30"/>
        <w:tabs>
          <w:tab w:val="right" w:leader="dot" w:pos="8296"/>
        </w:tabs>
        <w:rPr>
          <w:noProof/>
        </w:rPr>
      </w:pPr>
      <w:r>
        <w:rPr>
          <w:noProof/>
        </w:rPr>
        <w:t>ВЗИМАНИЕ ГОСУДАРСТВЕННОЙ ПОШЛИНЫ ЗА ОПЕРАЦИИ, ОСУЩЕСТВЛЯЕМЫЕ НА ФОНДОВЫХ БИРЖАХ, А ТАКЖЕ ЗА ПРОВЕДЕНИЕ АУКЦИОНА ПО ПРИВАТИЗАЦИИ ГОСУДАРСТВЕННОГО ИМУЩЕСТВА</w:t>
      </w:r>
      <w:r>
        <w:rPr>
          <w:noProof/>
        </w:rPr>
        <w:tab/>
        <w:t>10</w:t>
      </w:r>
    </w:p>
    <w:p w:rsidR="00012EE0" w:rsidRDefault="00012EE0">
      <w:pPr>
        <w:pStyle w:val="30"/>
        <w:tabs>
          <w:tab w:val="right" w:leader="dot" w:pos="8296"/>
        </w:tabs>
        <w:rPr>
          <w:noProof/>
        </w:rPr>
      </w:pPr>
      <w:r>
        <w:rPr>
          <w:noProof/>
        </w:rPr>
        <w:t>ВЗИМАНИЕ ГОСУДАРСТВЕННОЙ ПОШЛИНЫ ЗА ОПЕРАЦИИ С ЦЕННЫМИ БУМАГАМИ</w:t>
      </w:r>
      <w:r>
        <w:rPr>
          <w:noProof/>
        </w:rPr>
        <w:tab/>
        <w:t>12</w:t>
      </w:r>
    </w:p>
    <w:p w:rsidR="00012EE0" w:rsidRDefault="00012EE0">
      <w:pPr>
        <w:pStyle w:val="22"/>
        <w:tabs>
          <w:tab w:val="right" w:leader="dot" w:pos="8296"/>
        </w:tabs>
        <w:rPr>
          <w:noProof/>
        </w:rPr>
      </w:pPr>
      <w:r>
        <w:rPr>
          <w:noProof/>
        </w:rPr>
        <w:t>НДС</w:t>
      </w:r>
      <w:r>
        <w:rPr>
          <w:noProof/>
        </w:rPr>
        <w:tab/>
        <w:t>16</w:t>
      </w:r>
    </w:p>
    <w:p w:rsidR="00012EE0" w:rsidRDefault="00012EE0">
      <w:pPr>
        <w:pStyle w:val="10"/>
        <w:tabs>
          <w:tab w:val="right" w:leader="dot" w:pos="8296"/>
        </w:tabs>
        <w:rPr>
          <w:noProof/>
        </w:rPr>
      </w:pPr>
      <w:r>
        <w:rPr>
          <w:noProof/>
        </w:rPr>
        <w:t>Выводы</w:t>
      </w:r>
      <w:r>
        <w:rPr>
          <w:noProof/>
        </w:rPr>
        <w:tab/>
        <w:t>17</w:t>
      </w:r>
    </w:p>
    <w:p w:rsidR="00012EE0" w:rsidRDefault="00012EE0">
      <w:pPr>
        <w:pStyle w:val="10"/>
        <w:tabs>
          <w:tab w:val="right" w:leader="dot" w:pos="8296"/>
        </w:tabs>
        <w:rPr>
          <w:noProof/>
        </w:rPr>
      </w:pPr>
      <w:r>
        <w:rPr>
          <w:noProof/>
        </w:rPr>
        <w:t>Список литературы</w:t>
      </w:r>
      <w:r>
        <w:rPr>
          <w:noProof/>
        </w:rPr>
        <w:tab/>
        <w:t>17</w:t>
      </w:r>
    </w:p>
    <w:p w:rsidR="00012EE0" w:rsidRDefault="00012EE0">
      <w:pPr>
        <w:pStyle w:val="1"/>
        <w:spacing w:line="360" w:lineRule="auto"/>
        <w:ind w:firstLine="567"/>
        <w:rPr>
          <w:rFonts w:ascii="Times New Roman" w:hAnsi="Times New Roman"/>
        </w:rPr>
      </w:pPr>
    </w:p>
    <w:p w:rsidR="00012EE0" w:rsidRDefault="00012EE0">
      <w:pPr>
        <w:pStyle w:val="1"/>
        <w:spacing w:line="360" w:lineRule="auto"/>
        <w:ind w:firstLine="567"/>
        <w:rPr>
          <w:rFonts w:ascii="Times New Roman" w:hAnsi="Times New Roman"/>
        </w:rPr>
      </w:pPr>
      <w:bookmarkStart w:id="0" w:name="_Toc477584282"/>
      <w:r>
        <w:rPr>
          <w:rFonts w:ascii="Times New Roman" w:hAnsi="Times New Roman"/>
        </w:rPr>
        <w:t>Введение</w:t>
      </w:r>
      <w:bookmarkEnd w:id="0"/>
    </w:p>
    <w:p w:rsidR="00012EE0" w:rsidRDefault="00012EE0">
      <w:pPr>
        <w:spacing w:line="360" w:lineRule="auto"/>
        <w:ind w:firstLine="567"/>
        <w:rPr>
          <w:sz w:val="28"/>
        </w:rPr>
      </w:pPr>
      <w:r>
        <w:rPr>
          <w:sz w:val="28"/>
        </w:rPr>
        <w:tab/>
      </w:r>
      <w:r>
        <w:rPr>
          <w:sz w:val="28"/>
        </w:rPr>
        <w:tab/>
        <w:t>Налоговая система в каждой стране является одной из стержневых основ экономической системы. Она, с одной стороны, обеспечивает финансовую базу государства, а с другой – выступает главным орудием реализации ее экономической доктрины. Налоги – это объективное общественное явление, поэтому при построении налоговой системы необходимо выходить из реальностей социально-экономического состояния страны, а не руководствоваться пожеланиями, возможно, наилучшими, но неосуществимыми.</w:t>
      </w:r>
    </w:p>
    <w:p w:rsidR="00012EE0" w:rsidRDefault="00012EE0">
      <w:pPr>
        <w:spacing w:line="360" w:lineRule="auto"/>
        <w:ind w:firstLine="567"/>
        <w:rPr>
          <w:sz w:val="28"/>
        </w:rPr>
      </w:pPr>
      <w:r>
        <w:rPr>
          <w:sz w:val="28"/>
        </w:rPr>
        <w:tab/>
        <w:t>Налоги являются одной из важнейших финансовых категорий. Исторически это наиболее древняя форма финансовых отношений между государством и членами общества. Именно возникновение государства способствовало появлению платежей и взносов в государственную казну для финансового обеспечения выполнения государственных функций. Сначала эти взносы проводились в натуральной форме, затем, с развитием товарно-денежных отношений, был осуществлен переход к денежной форме взносов.</w:t>
      </w:r>
    </w:p>
    <w:p w:rsidR="00012EE0" w:rsidRDefault="00012EE0">
      <w:pPr>
        <w:pStyle w:val="a3"/>
        <w:spacing w:line="360" w:lineRule="auto"/>
        <w:ind w:firstLine="567"/>
      </w:pPr>
      <w:r>
        <w:tab/>
        <w:t>В системе налогообложения выделяют две группы налогов: прямые налоги и косвенные налоги. Прямые налоги направлены непосредственно на плательщика, и их размер прямо зависит от объекта налогообложения. Косвенные налоги выражаются в ценах произведенных товаров, выполненных работ, предоставленных услуг, и, хотя их выплачивают в бюджет хозяйствующие субъекты, основное бремя косвенных налогов несет на себе потребитель этих товаров, работ и услуг.</w:t>
      </w:r>
    </w:p>
    <w:p w:rsidR="00012EE0" w:rsidRDefault="00012EE0">
      <w:pPr>
        <w:spacing w:line="360" w:lineRule="auto"/>
        <w:ind w:firstLine="567"/>
        <w:rPr>
          <w:sz w:val="28"/>
          <w:lang w:val="en-US"/>
        </w:rPr>
      </w:pPr>
      <w:r>
        <w:rPr>
          <w:sz w:val="28"/>
        </w:rPr>
        <w:tab/>
        <w:t>В условиях нестабильной экономики, повышения цен, инфляции косвенные налоги представляют особый интерес как средство влияния на уровень цен в стране, как регулятор потребления.</w:t>
      </w:r>
      <w:r>
        <w:rPr>
          <w:sz w:val="28"/>
          <w:lang w:val="en-US"/>
        </w:rPr>
        <w:t xml:space="preserve"> </w:t>
      </w:r>
    </w:p>
    <w:p w:rsidR="00012EE0" w:rsidRDefault="00012EE0">
      <w:pPr>
        <w:spacing w:line="360" w:lineRule="auto"/>
        <w:ind w:firstLine="567"/>
        <w:rPr>
          <w:sz w:val="28"/>
        </w:rPr>
      </w:pPr>
      <w:r>
        <w:rPr>
          <w:sz w:val="28"/>
        </w:rPr>
        <w:t>В наше время расширилась сфера функционирования налогов, возросло их значение в перераспределении национального дохода, они стали важным способом влияния на процесс потребления, а отсюда и на процесс производства. Прямые и косвенные налоги играют очень важную роль в формировании доходов бюджета.</w:t>
      </w:r>
    </w:p>
    <w:p w:rsidR="00012EE0" w:rsidRDefault="00012EE0">
      <w:pPr>
        <w:spacing w:line="360" w:lineRule="auto"/>
        <w:ind w:firstLine="567"/>
        <w:rPr>
          <w:sz w:val="28"/>
        </w:rPr>
      </w:pPr>
      <w:r>
        <w:rPr>
          <w:sz w:val="28"/>
        </w:rPr>
        <w:t>Предмет данной работы – анализ налогообложения операций с ценными бумагами в Украине, на современном этапе.</w:t>
      </w:r>
    </w:p>
    <w:p w:rsidR="00012EE0" w:rsidRDefault="00012EE0">
      <w:pPr>
        <w:pStyle w:val="1"/>
        <w:spacing w:line="360" w:lineRule="auto"/>
        <w:ind w:firstLine="567"/>
        <w:rPr>
          <w:rFonts w:ascii="Times New Roman" w:hAnsi="Times New Roman"/>
        </w:rPr>
      </w:pPr>
      <w:bookmarkStart w:id="1" w:name="_Toc477584283"/>
      <w:r>
        <w:rPr>
          <w:rFonts w:ascii="Times New Roman" w:hAnsi="Times New Roman"/>
        </w:rPr>
        <w:t>НАЛОГООБЛОЖЕНИЕ НА РЫНКЕ ЦЕННЫХ БУМАГ</w:t>
      </w:r>
      <w:bookmarkEnd w:id="1"/>
      <w:r>
        <w:rPr>
          <w:rFonts w:ascii="Times New Roman" w:hAnsi="Times New Roman"/>
        </w:rPr>
        <w:t xml:space="preserve"> </w:t>
      </w:r>
    </w:p>
    <w:p w:rsidR="00012EE0" w:rsidRDefault="00012EE0">
      <w:pPr>
        <w:spacing w:line="360" w:lineRule="auto"/>
        <w:ind w:firstLine="567"/>
        <w:rPr>
          <w:sz w:val="28"/>
        </w:rPr>
      </w:pPr>
    </w:p>
    <w:p w:rsidR="00012EE0" w:rsidRDefault="00012EE0">
      <w:pPr>
        <w:spacing w:line="360" w:lineRule="auto"/>
        <w:ind w:firstLine="567"/>
        <w:rPr>
          <w:sz w:val="28"/>
        </w:rPr>
      </w:pPr>
      <w:r>
        <w:rPr>
          <w:sz w:val="28"/>
        </w:rPr>
        <w:t xml:space="preserve">Украина значительно отстает от европейских стран в части наличия законодательства, касающегося рынка ценных бумаг. Даже в России принят отдельный нормативный акт, регулирующий в определенной степени взаимоотношения между налоговиками и профессиональными участниками фондового рынка. В Украине, к сожалению, до сих пор налоги на рынке ценных бумаг регулируются отдельными законодательными актами, охватывающими конкретные налоги и часто противоречащими друг другу. Вот и возникают различные неприятные ситуации, омрачающие жизнь финансовым институтам и ставящие под сомнение возрождение фондового рынка Украины. </w:t>
      </w:r>
    </w:p>
    <w:p w:rsidR="00012EE0" w:rsidRDefault="00012EE0">
      <w:pPr>
        <w:pStyle w:val="21"/>
        <w:spacing w:line="360" w:lineRule="auto"/>
      </w:pPr>
      <w:r>
        <w:t xml:space="preserve">При формировании налогового законодательства люди, его разрабатывающие, видимо не учли факт возможности функционирования в Украине рынка ценных бумаг, поскольку проблемной являлись ситуации практически со всеми основными налогами - подоходным с физических лиц, на прибыль предприятий, госпошлиной и, наконец, налогом на добавленную стоимость. </w:t>
      </w:r>
    </w:p>
    <w:p w:rsidR="00012EE0" w:rsidRDefault="00012EE0">
      <w:pPr>
        <w:pStyle w:val="2"/>
        <w:spacing w:line="360" w:lineRule="auto"/>
        <w:ind w:firstLine="567"/>
        <w:rPr>
          <w:rFonts w:ascii="Times New Roman" w:hAnsi="Times New Roman"/>
        </w:rPr>
      </w:pPr>
      <w:bookmarkStart w:id="2" w:name="_Toc477584284"/>
      <w:r>
        <w:rPr>
          <w:rFonts w:ascii="Times New Roman" w:hAnsi="Times New Roman"/>
        </w:rPr>
        <w:t>ПОДОХОДНЫЙ НАЛОГ С ФИЗИЧЕСКИХ ЛИЦ</w:t>
      </w:r>
      <w:bookmarkEnd w:id="2"/>
      <w:r>
        <w:rPr>
          <w:rFonts w:ascii="Times New Roman" w:hAnsi="Times New Roman"/>
        </w:rPr>
        <w:t xml:space="preserve"> </w:t>
      </w:r>
    </w:p>
    <w:p w:rsidR="00012EE0" w:rsidRDefault="00012EE0">
      <w:pPr>
        <w:spacing w:line="360" w:lineRule="auto"/>
        <w:ind w:firstLine="567"/>
      </w:pPr>
    </w:p>
    <w:p w:rsidR="00012EE0" w:rsidRDefault="00012EE0">
      <w:pPr>
        <w:spacing w:line="360" w:lineRule="auto"/>
        <w:ind w:firstLine="567"/>
        <w:rPr>
          <w:sz w:val="28"/>
        </w:rPr>
      </w:pPr>
      <w:r>
        <w:rPr>
          <w:sz w:val="28"/>
        </w:rPr>
        <w:t>До последнего времени, основным и пожалуй единственным спорным (с точки зрения налоговой) вопросом по поводу налогообложения физических лиц, являлся вопрос – кто и когда должен уплачивать налог на доходы физических лиц полученные в результате продажи физическим лицом ценных бумаг юридическому лицу. С точки зрения налоговой администрации налог должно удерживать юридическое лицо (в размере 20%) и уплачивать его в бюджет. Профессиональные участники рынка ценных бумаг считают, что данный налог физическое лицо должно уплачивать самостоятельно. По поводу его взимания (или не взимания) было уже достаточно публикаций в СМИ, доказывающих, что уплата его финпосредниками несостоятельна, и масса писем ГНАУ, утверждающих обратное. Причем, трактовка налоговой данного вопроса претерпевает изменения на протяжении одного месяца. В качестве примера приведем два письма ГНАУ по этому вопросу:</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ДЕРЖАВНА ПОДАТКОВА АДМІНІСТРАЦІЯ УКРАЇНИ</w:t>
      </w:r>
    </w:p>
    <w:p w:rsidR="00012EE0" w:rsidRDefault="00012EE0">
      <w:pPr>
        <w:pStyle w:val="Preformatted"/>
        <w:tabs>
          <w:tab w:val="clear" w:pos="9590"/>
        </w:tabs>
        <w:spacing w:line="240" w:lineRule="atLeast"/>
        <w:rPr>
          <w:rStyle w:val="Typewriter"/>
          <w:b/>
          <w:color w:val="000000"/>
          <w:sz w:val="16"/>
        </w:rPr>
      </w:pP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 xml:space="preserve">                             Л И С Т</w:t>
      </w:r>
    </w:p>
    <w:p w:rsidR="00012EE0" w:rsidRDefault="00012EE0">
      <w:pPr>
        <w:pStyle w:val="Preformatted"/>
        <w:tabs>
          <w:tab w:val="clear" w:pos="9590"/>
        </w:tabs>
        <w:spacing w:line="240" w:lineRule="atLeast"/>
        <w:rPr>
          <w:rStyle w:val="Typewriter"/>
          <w:b/>
          <w:color w:val="000000"/>
          <w:sz w:val="16"/>
        </w:rPr>
      </w:pP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 xml:space="preserve"> N 17-0117/10-10885 від 31.12.97</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 xml:space="preserve">     м.Київ</w:t>
      </w:r>
    </w:p>
    <w:p w:rsidR="00012EE0" w:rsidRDefault="00012EE0">
      <w:pPr>
        <w:pStyle w:val="Preformatted"/>
        <w:tabs>
          <w:tab w:val="clear" w:pos="9590"/>
        </w:tabs>
        <w:spacing w:line="240" w:lineRule="atLeast"/>
        <w:rPr>
          <w:rStyle w:val="Typewriter"/>
          <w:b/>
          <w:color w:val="000000"/>
          <w:sz w:val="16"/>
        </w:rPr>
      </w:pP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 xml:space="preserve"> vd971231 vn17-0117/10-10885</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 xml:space="preserve">                                Державній податковій адміністрації</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 xml:space="preserve">                                в Автономній Республіці Крим,</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 xml:space="preserve">                                областям, мм.Києву та Севастополю</w:t>
      </w:r>
    </w:p>
    <w:p w:rsidR="00012EE0" w:rsidRDefault="00012EE0">
      <w:pPr>
        <w:pStyle w:val="Preformatted"/>
        <w:tabs>
          <w:tab w:val="clear" w:pos="9590"/>
        </w:tabs>
        <w:spacing w:line="240" w:lineRule="atLeast"/>
        <w:rPr>
          <w:rStyle w:val="Typewriter"/>
          <w:b/>
          <w:color w:val="000000"/>
          <w:sz w:val="16"/>
        </w:rPr>
      </w:pPr>
    </w:p>
    <w:p w:rsidR="00012EE0" w:rsidRDefault="00012EE0">
      <w:pPr>
        <w:pStyle w:val="Preformatted"/>
        <w:tabs>
          <w:tab w:val="clear" w:pos="9590"/>
        </w:tabs>
        <w:spacing w:line="240" w:lineRule="atLeast"/>
        <w:rPr>
          <w:rStyle w:val="Typewriter"/>
          <w:b/>
          <w:color w:val="000000"/>
          <w:sz w:val="16"/>
        </w:rPr>
      </w:pP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 xml:space="preserve">         Про особливості оподаткування прибутку громадян,</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 xml:space="preserve">      отриманих від продажу юридичним особам цінних паперів</w:t>
      </w:r>
    </w:p>
    <w:p w:rsidR="00012EE0" w:rsidRDefault="00012EE0">
      <w:pPr>
        <w:pStyle w:val="Preformatted"/>
        <w:tabs>
          <w:tab w:val="clear" w:pos="9590"/>
        </w:tabs>
        <w:spacing w:line="240" w:lineRule="atLeast"/>
        <w:rPr>
          <w:rStyle w:val="Typewriter"/>
          <w:b/>
          <w:color w:val="000000"/>
          <w:sz w:val="16"/>
        </w:rPr>
      </w:pPr>
    </w:p>
    <w:p w:rsidR="00012EE0" w:rsidRDefault="00012EE0">
      <w:pPr>
        <w:pStyle w:val="Preformatted"/>
        <w:tabs>
          <w:tab w:val="clear" w:pos="9590"/>
        </w:tabs>
        <w:spacing w:line="240" w:lineRule="atLeast"/>
        <w:rPr>
          <w:rStyle w:val="Typewriter"/>
          <w:b/>
          <w:color w:val="000000"/>
          <w:sz w:val="16"/>
        </w:rPr>
      </w:pP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 xml:space="preserve">     Государственная налоговая     Администрация     Украины    на</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многочисленные  запросы   налогоплательщиков   и   Государственных</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налоговых администраций   относительно  механизма  налогообложения</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доходов граждан,  полученных от продажи юридическим  лицам  ценных</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бумаг, в частности акций, сообщает следующее.</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 xml:space="preserve">     В соответствии с п.  5.13 Инструкции "О подоходном  налоге  с</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граждан" ( z0064-93 ) суммы доходов,  что направляются у источника</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их получения на приобретение акций, и суммы, которые инвестированы</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на    реконструкцию    и    расширение    производства   субъектов</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предпринимательской  деятельности  не  включаются   в   совокупный</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налогооблагаемый    доход.    Основанием    для    исключения   из</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налогооблагаемого дохода  таких  сумм  есть  письменное  заявление</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граджанина  в бухгалтерию предприятия,  учреждения или организации</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по месту основной работы с просьбой направить часть  заработка  на</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указанные  цели.  Доходы  полученные  от  продажи акций облагаются</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подоходным налогом на общих основаниях.</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 xml:space="preserve">     Кроме того,  согласно  п."е"  статьи  5 Декрета "О подоходном</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налоге с граждан" ( 13-92 ) в  совокупный  налогооблагаемый  доход</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граждан  не  включаются суммы получаемые ими вследствие отчуждения</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только того имущества,  что принадлежит им по праву собственности,</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в  том  числе  и  права  собственности  на акции,  за нотариальное</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удостоверение которого уплачивается государственная пошлина.</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 xml:space="preserve">     В случае,  если  гражданин  продает  акции,  приобретенные за</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собственные денежные средства, то налогообложению подлежит разница</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между ценой  предварительного  приобретения  и ценой продажи акций</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или их номинальной стоимостью. Указанный доход облагается налогом</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по ставке  20  процентов  в соответствии с п.3 статьи 7 Декрета "О</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подоходном налоге с граждан".</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 xml:space="preserve">     Указанный механизм налогообложения  действует  и для граждан,</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которые не имеют постоянного  места  жительства  в  Украине.  Если</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акции проданы   юридическому   лицу   по   месту  основной  работы</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гражданина, то сумма указанной разницы включается в его совокупный</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налогооблагаемый  месячный доход,  в котором она выплачивается,  и</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облагается в порядке и по ставкам п.1 статьи 7 указанного Декрета.</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 xml:space="preserve">     Что касается дохода граждан от продажи акций,  полученных ими</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в обмен на имущественные компенсационные сертификаты,  то в  даном</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случае   налогооблажению  подлежит  вся  сумма  дохда  за  минусом</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стоимости компенсационного сертификата.</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 xml:space="preserve">     После окончания  календарного  года  физические  лица обязаны</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подавать в  налоговый  орган  по  месту  жительства  декларацию  о</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совокупном доходе, плученном в течение отчетного года.</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 xml:space="preserve">     В дополнение к изложенному  следует  отметить, что  указанным</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Декретом предусмотрено,  что юридические лица, которые выплачивают</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денежные средства субъектам налогообложения,  обязаны в 30-дневный</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срок после выплаты гражданам доходов за  купленные  у  них  ценные</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бумаги  подать  в  налоговый  орган  по  месту  жительства граждан</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справку  по  форме  N  2,  которые  используют  ее  для   проверки</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предъявленных   гражданами   деклараций  и  исчисления  совокупной</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годовой суммы налога.</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 xml:space="preserve">     Одновременно статьей 19 Декрета ( 13-92  )  установлено,  что</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лица,  которые получают доходы не только по месту основной работы,</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обязаны вести учет доходов и затрат, связанных с их получением, по</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форме,  приведенной  в  приложении  N  4  Инструкции "О подоходном</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налоге с граждан"  (  z0064-93  ).  Это  касается  также  граждан,</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которые получают доходы от продажи ценных бумаг.</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 xml:space="preserve">     Указанное письмо  необходимо  довести  к  сведению   налоговых</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администраций всех   уровней   для   руководства  и  применения  в</w:t>
      </w:r>
    </w:p>
    <w:p w:rsidR="00012EE0" w:rsidRDefault="00012EE0">
      <w:pPr>
        <w:pStyle w:val="Preformatted"/>
        <w:tabs>
          <w:tab w:val="clear" w:pos="9590"/>
        </w:tabs>
        <w:spacing w:line="240" w:lineRule="atLeast"/>
        <w:rPr>
          <w:rStyle w:val="Typewriter"/>
          <w:b/>
          <w:color w:val="000000"/>
          <w:sz w:val="16"/>
        </w:rPr>
      </w:pPr>
      <w:r>
        <w:rPr>
          <w:rStyle w:val="Typewriter"/>
          <w:b/>
          <w:color w:val="000000"/>
          <w:sz w:val="16"/>
        </w:rPr>
        <w:t>практической работе.</w:t>
      </w:r>
    </w:p>
    <w:p w:rsidR="00012EE0" w:rsidRDefault="00012EE0">
      <w:pPr>
        <w:pStyle w:val="Preformatted"/>
        <w:tabs>
          <w:tab w:val="clear" w:pos="9590"/>
        </w:tabs>
        <w:spacing w:line="240" w:lineRule="atLeast"/>
        <w:rPr>
          <w:rStyle w:val="Typewriter"/>
          <w:b/>
          <w:color w:val="000000"/>
          <w:sz w:val="16"/>
        </w:rPr>
      </w:pPr>
    </w:p>
    <w:p w:rsidR="00012EE0" w:rsidRDefault="00012EE0">
      <w:pPr>
        <w:pStyle w:val="Preformatted"/>
        <w:tabs>
          <w:tab w:val="clear" w:pos="9590"/>
        </w:tabs>
        <w:spacing w:line="240" w:lineRule="atLeast"/>
        <w:rPr>
          <w:rStyle w:val="Typewriter"/>
          <w:b/>
          <w:color w:val="000000"/>
        </w:rPr>
      </w:pPr>
      <w:r>
        <w:rPr>
          <w:rStyle w:val="Typewriter"/>
          <w:b/>
          <w:color w:val="000000"/>
          <w:sz w:val="16"/>
        </w:rPr>
        <w:t xml:space="preserve"> Заместитель Председателя                           Г.И.Бондаренко</w:t>
      </w:r>
    </w:p>
    <w:p w:rsidR="00012EE0" w:rsidRDefault="00012EE0">
      <w:pPr>
        <w:spacing w:line="360" w:lineRule="auto"/>
        <w:ind w:firstLine="567"/>
        <w:rPr>
          <w:sz w:val="28"/>
        </w:rPr>
      </w:pPr>
      <w:r>
        <w:rPr>
          <w:sz w:val="28"/>
        </w:rPr>
        <w:t>Как видно из приведенного письма здесь отсутствует требование удерживать налог по месту выплаты, но уже следующее письмо за той же подписью меняет позицию ГНАУ:</w:t>
      </w:r>
    </w:p>
    <w:p w:rsidR="00012EE0" w:rsidRDefault="00012EE0">
      <w:pPr>
        <w:pStyle w:val="Preformatted"/>
        <w:tabs>
          <w:tab w:val="clear" w:pos="9590"/>
        </w:tabs>
        <w:spacing w:line="240" w:lineRule="atLeast"/>
        <w:rPr>
          <w:rStyle w:val="Typewriter"/>
          <w:color w:val="000000"/>
          <w:sz w:val="16"/>
          <w:lang w:val="uk-UA"/>
        </w:rPr>
      </w:pPr>
      <w:r>
        <w:rPr>
          <w:rStyle w:val="Typewriter"/>
          <w:color w:val="000000"/>
          <w:sz w:val="16"/>
          <w:lang w:val="uk-UA"/>
        </w:rPr>
        <w:t xml:space="preserve">ДЕРЖАВНА ПОДАТКОВА АДМІНІСТРАЦІЯ УКРАЇНИ </w:t>
      </w:r>
    </w:p>
    <w:p w:rsidR="00012EE0" w:rsidRDefault="00012EE0">
      <w:pPr>
        <w:pStyle w:val="Preformatted"/>
        <w:tabs>
          <w:tab w:val="clear" w:pos="9590"/>
        </w:tabs>
        <w:spacing w:line="240" w:lineRule="atLeast"/>
        <w:rPr>
          <w:rStyle w:val="Typewriter"/>
          <w:color w:val="000000"/>
          <w:sz w:val="16"/>
          <w:lang w:val="uk-UA"/>
        </w:rPr>
      </w:pPr>
      <w:r>
        <w:rPr>
          <w:rStyle w:val="Typewriter"/>
          <w:color w:val="000000"/>
          <w:sz w:val="16"/>
          <w:lang w:val="uk-UA"/>
        </w:rPr>
        <w:t xml:space="preserve"> </w:t>
      </w:r>
    </w:p>
    <w:p w:rsidR="00012EE0" w:rsidRDefault="00012EE0">
      <w:pPr>
        <w:pStyle w:val="Preformatted"/>
        <w:tabs>
          <w:tab w:val="clear" w:pos="9590"/>
        </w:tabs>
        <w:spacing w:line="240" w:lineRule="atLeast"/>
        <w:rPr>
          <w:rStyle w:val="Typewriter"/>
          <w:color w:val="000000"/>
          <w:sz w:val="16"/>
          <w:lang w:val="uk-UA"/>
        </w:rPr>
      </w:pPr>
      <w:r>
        <w:rPr>
          <w:rStyle w:val="Typewriter"/>
          <w:color w:val="000000"/>
          <w:sz w:val="16"/>
          <w:lang w:val="uk-UA"/>
        </w:rPr>
        <w:t xml:space="preserve"> Л И С Т </w:t>
      </w:r>
    </w:p>
    <w:p w:rsidR="00012EE0" w:rsidRDefault="00012EE0">
      <w:pPr>
        <w:pStyle w:val="Preformatted"/>
        <w:tabs>
          <w:tab w:val="clear" w:pos="9590"/>
        </w:tabs>
        <w:spacing w:line="240" w:lineRule="atLeast"/>
        <w:rPr>
          <w:rStyle w:val="Typewriter"/>
          <w:color w:val="000000"/>
          <w:sz w:val="16"/>
          <w:lang w:val="uk-UA"/>
        </w:rPr>
      </w:pPr>
      <w:r>
        <w:rPr>
          <w:rStyle w:val="Typewriter"/>
          <w:color w:val="000000"/>
          <w:sz w:val="16"/>
          <w:lang w:val="uk-UA"/>
        </w:rPr>
        <w:t xml:space="preserve"> </w:t>
      </w:r>
    </w:p>
    <w:p w:rsidR="00012EE0" w:rsidRDefault="00012EE0">
      <w:pPr>
        <w:pStyle w:val="Preformatted"/>
        <w:tabs>
          <w:tab w:val="clear" w:pos="9590"/>
        </w:tabs>
        <w:spacing w:line="240" w:lineRule="atLeast"/>
        <w:rPr>
          <w:rStyle w:val="Typewriter"/>
          <w:color w:val="000000"/>
          <w:sz w:val="16"/>
          <w:lang w:val="uk-UA"/>
        </w:rPr>
      </w:pPr>
      <w:r>
        <w:rPr>
          <w:rStyle w:val="Typewriter"/>
          <w:color w:val="000000"/>
          <w:sz w:val="16"/>
          <w:lang w:val="uk-UA"/>
        </w:rPr>
        <w:t xml:space="preserve"> N 376/11/17-0116 від 15.01.98</w:t>
      </w:r>
    </w:p>
    <w:p w:rsidR="00012EE0" w:rsidRDefault="00012EE0">
      <w:pPr>
        <w:pStyle w:val="Preformatted"/>
        <w:tabs>
          <w:tab w:val="clear" w:pos="9590"/>
        </w:tabs>
        <w:spacing w:line="240" w:lineRule="atLeast"/>
        <w:rPr>
          <w:rStyle w:val="Typewriter"/>
          <w:color w:val="000000"/>
          <w:sz w:val="16"/>
          <w:lang w:val="uk-UA"/>
        </w:rPr>
      </w:pPr>
      <w:r>
        <w:rPr>
          <w:rStyle w:val="Typewriter"/>
          <w:color w:val="000000"/>
          <w:sz w:val="16"/>
          <w:lang w:val="uk-UA"/>
        </w:rPr>
        <w:t xml:space="preserve"> м.Київ </w:t>
      </w:r>
    </w:p>
    <w:p w:rsidR="00012EE0" w:rsidRDefault="00012EE0">
      <w:pPr>
        <w:pStyle w:val="Preformatted"/>
        <w:tabs>
          <w:tab w:val="clear" w:pos="9590"/>
        </w:tabs>
        <w:spacing w:line="240" w:lineRule="atLeast"/>
        <w:rPr>
          <w:rStyle w:val="Typewriter"/>
          <w:color w:val="000000"/>
          <w:sz w:val="16"/>
          <w:lang w:val="uk-UA"/>
        </w:rPr>
      </w:pPr>
      <w:r>
        <w:rPr>
          <w:rStyle w:val="Typewriter"/>
          <w:color w:val="000000"/>
          <w:sz w:val="16"/>
          <w:lang w:val="uk-UA"/>
        </w:rPr>
        <w:t xml:space="preserve"> </w:t>
      </w:r>
    </w:p>
    <w:p w:rsidR="00012EE0" w:rsidRDefault="00012EE0">
      <w:pPr>
        <w:pStyle w:val="Preformatted"/>
        <w:tabs>
          <w:tab w:val="clear" w:pos="9590"/>
        </w:tabs>
        <w:spacing w:line="240" w:lineRule="atLeast"/>
        <w:rPr>
          <w:rStyle w:val="Typewriter"/>
          <w:color w:val="000000"/>
          <w:sz w:val="16"/>
          <w:lang w:val="uk-UA"/>
        </w:rPr>
      </w:pPr>
      <w:r>
        <w:rPr>
          <w:rStyle w:val="Typewriter"/>
          <w:color w:val="000000"/>
          <w:sz w:val="16"/>
          <w:lang w:val="uk-UA"/>
        </w:rPr>
        <w:t xml:space="preserve"> vd980115 vn376/11/17-0116</w:t>
      </w:r>
    </w:p>
    <w:p w:rsidR="00012EE0" w:rsidRDefault="00012EE0">
      <w:pPr>
        <w:pStyle w:val="Preformatted"/>
        <w:tabs>
          <w:tab w:val="clear" w:pos="9590"/>
        </w:tabs>
        <w:spacing w:line="240" w:lineRule="atLeast"/>
        <w:rPr>
          <w:rStyle w:val="Typewriter"/>
          <w:color w:val="000000"/>
          <w:sz w:val="16"/>
          <w:lang w:val="uk-UA"/>
        </w:rPr>
      </w:pPr>
      <w:r>
        <w:rPr>
          <w:rStyle w:val="Typewriter"/>
          <w:color w:val="000000"/>
          <w:sz w:val="16"/>
          <w:lang w:val="uk-UA"/>
        </w:rPr>
        <w:t xml:space="preserve"> Інвестиційно</w:t>
      </w:r>
      <w:r>
        <w:rPr>
          <w:rStyle w:val="Typewriter"/>
          <w:color w:val="000000"/>
          <w:sz w:val="16"/>
          <w:lang w:val="uk-UA"/>
        </w:rPr>
        <w:softHyphen/>
        <w:t>комерційна</w:t>
      </w:r>
    </w:p>
    <w:p w:rsidR="00012EE0" w:rsidRDefault="00012EE0">
      <w:pPr>
        <w:pStyle w:val="Preformatted"/>
        <w:tabs>
          <w:tab w:val="clear" w:pos="9590"/>
        </w:tabs>
        <w:spacing w:line="240" w:lineRule="atLeast"/>
        <w:rPr>
          <w:rStyle w:val="Typewriter"/>
          <w:color w:val="000000"/>
          <w:sz w:val="16"/>
          <w:lang w:val="uk-UA"/>
        </w:rPr>
      </w:pPr>
      <w:r>
        <w:rPr>
          <w:rStyle w:val="Typewriter"/>
          <w:color w:val="000000"/>
          <w:sz w:val="16"/>
          <w:lang w:val="uk-UA"/>
        </w:rPr>
        <w:t xml:space="preserve"> фірма "Октепес" ЛТД</w:t>
      </w:r>
    </w:p>
    <w:p w:rsidR="00012EE0" w:rsidRDefault="00012EE0">
      <w:pPr>
        <w:pStyle w:val="Preformatted"/>
        <w:tabs>
          <w:tab w:val="clear" w:pos="9590"/>
        </w:tabs>
        <w:spacing w:line="240" w:lineRule="atLeast"/>
        <w:rPr>
          <w:rStyle w:val="Typewriter"/>
          <w:color w:val="000000"/>
          <w:sz w:val="16"/>
          <w:lang w:val="uk-UA"/>
        </w:rPr>
      </w:pPr>
      <w:r>
        <w:rPr>
          <w:rStyle w:val="Typewriter"/>
          <w:color w:val="000000"/>
          <w:sz w:val="16"/>
          <w:lang w:val="uk-UA"/>
        </w:rPr>
        <w:t xml:space="preserve"> 257006, м.Черкаси</w:t>
      </w:r>
    </w:p>
    <w:p w:rsidR="00012EE0" w:rsidRDefault="00012EE0">
      <w:pPr>
        <w:pStyle w:val="Preformatted"/>
        <w:tabs>
          <w:tab w:val="clear" w:pos="9590"/>
        </w:tabs>
        <w:spacing w:line="240" w:lineRule="atLeast"/>
        <w:rPr>
          <w:rStyle w:val="Typewriter"/>
          <w:color w:val="000000"/>
          <w:sz w:val="16"/>
          <w:lang w:val="uk-UA"/>
        </w:rPr>
      </w:pPr>
      <w:r>
        <w:rPr>
          <w:rStyle w:val="Typewriter"/>
          <w:color w:val="000000"/>
          <w:sz w:val="16"/>
          <w:lang w:val="uk-UA"/>
        </w:rPr>
        <w:t xml:space="preserve"> вул.Хрещатик, 195 </w:t>
      </w:r>
    </w:p>
    <w:p w:rsidR="00012EE0" w:rsidRDefault="00012EE0">
      <w:pPr>
        <w:pStyle w:val="Preformatted"/>
        <w:tabs>
          <w:tab w:val="clear" w:pos="9590"/>
        </w:tabs>
        <w:spacing w:line="240" w:lineRule="atLeast"/>
        <w:rPr>
          <w:rStyle w:val="Typewriter"/>
          <w:color w:val="000000"/>
          <w:sz w:val="16"/>
          <w:lang w:val="uk-UA"/>
        </w:rPr>
      </w:pPr>
      <w:r>
        <w:rPr>
          <w:rStyle w:val="Typewriter"/>
          <w:color w:val="000000"/>
          <w:sz w:val="16"/>
          <w:lang w:val="uk-UA"/>
        </w:rPr>
        <w:t xml:space="preserve">  </w:t>
      </w:r>
    </w:p>
    <w:p w:rsidR="00012EE0" w:rsidRDefault="00012EE0">
      <w:pPr>
        <w:pStyle w:val="Preformatted"/>
        <w:tabs>
          <w:tab w:val="clear" w:pos="9590"/>
        </w:tabs>
        <w:spacing w:line="240" w:lineRule="atLeast"/>
        <w:rPr>
          <w:rStyle w:val="Typewriter"/>
          <w:color w:val="000000"/>
          <w:sz w:val="16"/>
          <w:lang w:val="uk-UA"/>
        </w:rPr>
      </w:pPr>
      <w:r>
        <w:rPr>
          <w:rStyle w:val="Typewriter"/>
          <w:color w:val="000000"/>
          <w:sz w:val="16"/>
          <w:lang w:val="uk-UA"/>
        </w:rPr>
        <w:t xml:space="preserve"> Про особливості оподаткування доходів громадян, отриманих</w:t>
      </w:r>
    </w:p>
    <w:p w:rsidR="00012EE0" w:rsidRDefault="00012EE0">
      <w:pPr>
        <w:pStyle w:val="Preformatted"/>
        <w:tabs>
          <w:tab w:val="clear" w:pos="9590"/>
        </w:tabs>
        <w:spacing w:line="240" w:lineRule="atLeast"/>
        <w:rPr>
          <w:rStyle w:val="Typewriter"/>
          <w:color w:val="000000"/>
          <w:sz w:val="16"/>
          <w:lang w:val="uk-UA"/>
        </w:rPr>
      </w:pPr>
      <w:r>
        <w:rPr>
          <w:rStyle w:val="Typewriter"/>
          <w:color w:val="000000"/>
          <w:sz w:val="16"/>
          <w:lang w:val="uk-UA"/>
        </w:rPr>
        <w:t xml:space="preserve"> від продажу юридичним особам цінних паперів </w:t>
      </w:r>
    </w:p>
    <w:p w:rsidR="00012EE0" w:rsidRDefault="00012EE0">
      <w:pPr>
        <w:pStyle w:val="Preformatted"/>
        <w:tabs>
          <w:tab w:val="clear" w:pos="9590"/>
        </w:tabs>
        <w:spacing w:line="240" w:lineRule="atLeast"/>
        <w:rPr>
          <w:rStyle w:val="Typewriter"/>
          <w:color w:val="000000"/>
          <w:sz w:val="16"/>
          <w:lang w:val="uk-UA"/>
        </w:rPr>
      </w:pPr>
      <w:r>
        <w:rPr>
          <w:rStyle w:val="Typewriter"/>
          <w:color w:val="000000"/>
          <w:sz w:val="16"/>
          <w:lang w:val="uk-UA"/>
        </w:rPr>
        <w:t xml:space="preserve">  </w:t>
      </w:r>
    </w:p>
    <w:p w:rsidR="00012EE0" w:rsidRDefault="00012EE0">
      <w:pPr>
        <w:pStyle w:val="Preformatted"/>
        <w:tabs>
          <w:tab w:val="clear" w:pos="9590"/>
        </w:tabs>
        <w:spacing w:line="240" w:lineRule="atLeast"/>
        <w:rPr>
          <w:rStyle w:val="Typewriter"/>
          <w:color w:val="000000"/>
          <w:sz w:val="16"/>
          <w:lang w:val="uk-UA"/>
        </w:rPr>
      </w:pPr>
      <w:r>
        <w:rPr>
          <w:rStyle w:val="Typewriter"/>
          <w:color w:val="000000"/>
          <w:sz w:val="16"/>
          <w:lang w:val="uk-UA"/>
        </w:rPr>
        <w:t xml:space="preserve"> Державна податкова адміністрація України на ваш запит щодо механізму оподаткування доходів громадян, отриманих від продажу юридичним особам цінних паперів, зокрема акцій, повідомляє наступне.</w:t>
      </w:r>
    </w:p>
    <w:p w:rsidR="00012EE0" w:rsidRDefault="00012EE0">
      <w:pPr>
        <w:pStyle w:val="Preformatted"/>
        <w:tabs>
          <w:tab w:val="clear" w:pos="9590"/>
        </w:tabs>
        <w:spacing w:line="240" w:lineRule="atLeast"/>
        <w:rPr>
          <w:rStyle w:val="Typewriter"/>
          <w:color w:val="000000"/>
          <w:sz w:val="16"/>
          <w:lang w:val="uk-UA"/>
        </w:rPr>
      </w:pPr>
      <w:r>
        <w:rPr>
          <w:rStyle w:val="Typewriter"/>
          <w:color w:val="000000"/>
          <w:sz w:val="16"/>
          <w:lang w:val="uk-UA"/>
        </w:rPr>
        <w:t xml:space="preserve"> Згідно з п."е" статті 5 Декрету Кабінету Міністрів України "Про прибутковий податок з громадян" ( 13-92 ) до сукупного оподатковуваного доходу громадян не влючаються суми, одержані ними внаслідок відчуження майна, що належить їм за правом власності, в тому числі і права власності на акції, як одного об'єкту права приватної власності, за нотаріальне посвідчення якого сплачується державне мито.</w:t>
      </w:r>
    </w:p>
    <w:p w:rsidR="00012EE0" w:rsidRDefault="00012EE0">
      <w:pPr>
        <w:pStyle w:val="Preformatted"/>
        <w:tabs>
          <w:tab w:val="clear" w:pos="9590"/>
        </w:tabs>
        <w:spacing w:line="240" w:lineRule="atLeast"/>
        <w:rPr>
          <w:rStyle w:val="Typewriter"/>
          <w:color w:val="000000"/>
          <w:sz w:val="16"/>
          <w:lang w:val="uk-UA"/>
        </w:rPr>
      </w:pPr>
      <w:r>
        <w:rPr>
          <w:rStyle w:val="Typewriter"/>
          <w:color w:val="000000"/>
          <w:sz w:val="16"/>
          <w:lang w:val="uk-UA"/>
        </w:rPr>
        <w:t xml:space="preserve"> Відповідно до п.5.13 Інструкції "Про прибутковий податок з громадян" ( z0064-93 ) суми доходів, що направляються у джерела їх одержання на придбання акцій, та суми. які інвестовані на реконструкцію і розширення виробництва суб'єктів підприємницької діяльності не включаються до сукупного оподатковуваного доходу.  Підставою для виключення з оподатковуваного доходу таких сум є письмова заява громадянина в бухгалтерію підприємства, установи чи організації за місцем основної роботи з проханням направити частину заробітку на зазначені цілі. Доходи, одержані від подальшого продажу акцій, оподатковуються прибутковим податком на загальних підставах.</w:t>
      </w:r>
    </w:p>
    <w:p w:rsidR="00012EE0" w:rsidRDefault="00012EE0">
      <w:pPr>
        <w:pStyle w:val="Preformatted"/>
        <w:tabs>
          <w:tab w:val="clear" w:pos="9590"/>
        </w:tabs>
        <w:spacing w:line="240" w:lineRule="atLeast"/>
        <w:rPr>
          <w:rStyle w:val="Typewriter"/>
          <w:color w:val="000000"/>
          <w:sz w:val="16"/>
          <w:lang w:val="uk-UA"/>
        </w:rPr>
      </w:pPr>
      <w:r>
        <w:rPr>
          <w:rStyle w:val="Typewriter"/>
          <w:color w:val="000000"/>
          <w:sz w:val="16"/>
          <w:lang w:val="uk-UA"/>
        </w:rPr>
        <w:t xml:space="preserve"> У разі, якщо громадянин продає акції, придбані за власні кошти, юридичним особам не за місцем його основної роботи, то оподаткуванню підлягає різниця між їх номінальною вартістю або ціною попереднього придбання (якщо вона може бути підтверджена документально) і ціною продажу акцій. За відсутності документального підтвердження - між номінальною вартістю та ціною продажу. Зазначений дохід оподатковується у джерела виплати за ставкою 20 відсотків відповідно до п.3 статті 7 "Про прибутковий податок з громадян". Згаданий механізм діє і для громадян, які не мають постійного місця проживання в Україні.</w:t>
      </w:r>
    </w:p>
    <w:p w:rsidR="00012EE0" w:rsidRDefault="00012EE0">
      <w:pPr>
        <w:pStyle w:val="Preformatted"/>
        <w:tabs>
          <w:tab w:val="clear" w:pos="9590"/>
        </w:tabs>
        <w:spacing w:line="240" w:lineRule="atLeast"/>
        <w:rPr>
          <w:rStyle w:val="Typewriter"/>
          <w:color w:val="000000"/>
          <w:sz w:val="16"/>
          <w:lang w:val="uk-UA"/>
        </w:rPr>
      </w:pPr>
      <w:r>
        <w:rPr>
          <w:rStyle w:val="Typewriter"/>
          <w:color w:val="000000"/>
          <w:sz w:val="16"/>
          <w:lang w:val="uk-UA"/>
        </w:rPr>
        <w:t xml:space="preserve"> Якщо акції подані юридичній особі емітенту цих акцій за місцем основної роботи громадянина, то сума різниці вартості їх придбання та ціною продажу включається до його сукупного оподатковуваного місячного доходу, в якому вона виплачується, і оподатковується в порядку і за ставками п.1 статті 7 зазначеного Декрету.</w:t>
      </w:r>
    </w:p>
    <w:p w:rsidR="00012EE0" w:rsidRDefault="00012EE0">
      <w:pPr>
        <w:pStyle w:val="Preformatted"/>
        <w:tabs>
          <w:tab w:val="clear" w:pos="9590"/>
        </w:tabs>
        <w:spacing w:line="240" w:lineRule="atLeast"/>
        <w:rPr>
          <w:rStyle w:val="Typewriter"/>
          <w:color w:val="000000"/>
          <w:sz w:val="16"/>
          <w:lang w:val="uk-UA"/>
        </w:rPr>
      </w:pPr>
      <w:r>
        <w:rPr>
          <w:rStyle w:val="Typewriter"/>
          <w:color w:val="000000"/>
          <w:sz w:val="16"/>
          <w:lang w:val="uk-UA"/>
        </w:rPr>
        <w:t xml:space="preserve"> Що стосується доходу громадян від продажу акцій, отриманих ними в обмін на майнові компенсаційні сертифікати, то оподаткуванню підлягає вся сума доходу за мінусом вартості компенсаційного сертифікату.</w:t>
      </w:r>
    </w:p>
    <w:p w:rsidR="00012EE0" w:rsidRDefault="00012EE0">
      <w:pPr>
        <w:pStyle w:val="Preformatted"/>
        <w:tabs>
          <w:tab w:val="clear" w:pos="9590"/>
        </w:tabs>
        <w:spacing w:line="240" w:lineRule="atLeast"/>
        <w:rPr>
          <w:rStyle w:val="Typewriter"/>
          <w:color w:val="000000"/>
          <w:sz w:val="16"/>
          <w:lang w:val="uk-UA"/>
        </w:rPr>
      </w:pPr>
      <w:r>
        <w:rPr>
          <w:rStyle w:val="Typewriter"/>
          <w:color w:val="000000"/>
          <w:sz w:val="16"/>
          <w:lang w:val="uk-UA"/>
        </w:rPr>
        <w:t xml:space="preserve"> Після закінчення календарного року фізичні особи зобов'язані подати до податкового органу за місцем проживання декларацію про сукупний дохід, отриманий протягом звітного року.</w:t>
      </w:r>
    </w:p>
    <w:p w:rsidR="00012EE0" w:rsidRDefault="00012EE0">
      <w:pPr>
        <w:pStyle w:val="Preformatted"/>
        <w:tabs>
          <w:tab w:val="clear" w:pos="9590"/>
        </w:tabs>
        <w:spacing w:line="240" w:lineRule="atLeast"/>
        <w:rPr>
          <w:rStyle w:val="Typewriter"/>
          <w:color w:val="000000"/>
          <w:sz w:val="16"/>
          <w:lang w:val="uk-UA"/>
        </w:rPr>
      </w:pPr>
      <w:r>
        <w:rPr>
          <w:rStyle w:val="Typewriter"/>
          <w:color w:val="000000"/>
          <w:sz w:val="16"/>
          <w:lang w:val="uk-UA"/>
        </w:rPr>
        <w:t xml:space="preserve"> В доповнення до наведеного слід зазначити, що згаданим Декретом передбачено, що юридичні особи, які виплачують кошти суб'єктам оподаткування, зобов'язані у 30- денний термін після виплати громадянам доходів за куплені у них цінні папери надіслати до податкового органу за місцем проживання громадян довідку за формою N 2, які використовують їх для перевірки поданих громадянами декларацій та обчислення сукупної річної суми податку.</w:t>
      </w:r>
    </w:p>
    <w:p w:rsidR="00012EE0" w:rsidRDefault="00012EE0">
      <w:pPr>
        <w:pStyle w:val="Preformatted"/>
        <w:tabs>
          <w:tab w:val="clear" w:pos="9590"/>
        </w:tabs>
        <w:spacing w:line="240" w:lineRule="atLeast"/>
        <w:rPr>
          <w:rStyle w:val="Typewriter"/>
          <w:color w:val="000000"/>
          <w:sz w:val="16"/>
          <w:lang w:val="uk-UA"/>
        </w:rPr>
      </w:pPr>
      <w:r>
        <w:rPr>
          <w:rStyle w:val="Typewriter"/>
          <w:color w:val="000000"/>
          <w:sz w:val="16"/>
          <w:lang w:val="uk-UA"/>
        </w:rPr>
        <w:t xml:space="preserve"> Водночас статтею 19 Декрету встановлено, що особи, які одержують доходи не тільки за місцем основної роботи, зобов'язані вести облік доходів і витрат, пов'язаних з їх одержанням, за формою, наведеною у додатку N 4 до Інструкції "Про прибутковий податок з громадян" ( z0064-93 ). Це стосується також громадян,  які одержують доходи від продажу цінних паперів. </w:t>
      </w:r>
    </w:p>
    <w:p w:rsidR="00012EE0" w:rsidRDefault="00012EE0">
      <w:pPr>
        <w:pStyle w:val="Preformatted"/>
        <w:tabs>
          <w:tab w:val="clear" w:pos="9590"/>
        </w:tabs>
        <w:spacing w:line="240" w:lineRule="atLeast"/>
        <w:rPr>
          <w:rStyle w:val="Typewriter"/>
          <w:color w:val="000000"/>
          <w:sz w:val="16"/>
          <w:lang w:val="uk-UA"/>
        </w:rPr>
      </w:pPr>
      <w:r>
        <w:rPr>
          <w:rStyle w:val="Typewriter"/>
          <w:color w:val="000000"/>
          <w:sz w:val="16"/>
          <w:lang w:val="uk-UA"/>
        </w:rPr>
        <w:t xml:space="preserve"> </w:t>
      </w:r>
    </w:p>
    <w:p w:rsidR="00012EE0" w:rsidRDefault="00012EE0">
      <w:pPr>
        <w:spacing w:line="240" w:lineRule="atLeast"/>
        <w:ind w:firstLine="567"/>
        <w:rPr>
          <w:sz w:val="28"/>
        </w:rPr>
      </w:pPr>
      <w:r>
        <w:rPr>
          <w:rStyle w:val="Typewriter"/>
          <w:color w:val="000000"/>
          <w:sz w:val="16"/>
          <w:lang w:val="uk-UA"/>
        </w:rPr>
        <w:t xml:space="preserve"> Заступник Голови Г.І.Бондаренко</w:t>
      </w:r>
    </w:p>
    <w:p w:rsidR="00012EE0" w:rsidRDefault="00012EE0">
      <w:pPr>
        <w:spacing w:line="360" w:lineRule="auto"/>
        <w:ind w:firstLine="567"/>
        <w:rPr>
          <w:sz w:val="28"/>
        </w:rPr>
      </w:pPr>
    </w:p>
    <w:p w:rsidR="00012EE0" w:rsidRDefault="00012EE0">
      <w:pPr>
        <w:spacing w:line="360" w:lineRule="auto"/>
        <w:ind w:firstLine="567"/>
        <w:rPr>
          <w:sz w:val="28"/>
        </w:rPr>
      </w:pPr>
      <w:r>
        <w:rPr>
          <w:sz w:val="28"/>
        </w:rPr>
        <w:t>Имеет место достаточное количество решений арбитражных судов в пользу торговцев ценными бумагами. Но проблема состояла в том, что ни первое, ни второе не имеют юридической силы, а арбитражные решения касаются каждого конкретного случая. Исходя из инструкции о подоходном налоге и писем ГКЦБФР и Минюста, взимать подоходный налог при скупке ценных бумаг у физических лиц торговцам ценными бумагами не надо. Но налоговые администрации, к сожалению, письма вышеуказанных организаций не читают, а инструкцию уже не принимают во внимание. Большинство представителей профессиональных участников рынка ценных бумаг были уверены, что вопрос решится для рынка положительно. Потому, что если решение будет негативным для них, налоговая возьмет на себя обязанности похорон украинского фондового рынка. А это очень серьезный шаг. И их ожидания оправдались – Законом «ПРО ВНЕСЕННЯ ЗМІН ДО ДЕЯКИХ ЗАКОНОДАВЧИХ АКТІВ УКРАЇНИ» від 23 березня 1999 р. N 539-XIV к декрету кабинета министров «ПРО ПРИБУТКОВИЙ ПОДАТОК З ГРОМАДЯН” были внесены изменения согласно которым: «Прибуток, отриманий громадянином від операцій купівлі-продажу акцій та інших корпоративних прав, за результатами звітного року включається до складу його сукупного річного оподатковуваного доходу та вноситься ним до бюджету у встановлені строки. При цьому особою, відповідальною за внесення податку до бюджету, є такий громадянин.” В результате чего обсуждаемый вопрос был окончательно решен.</w:t>
      </w:r>
    </w:p>
    <w:p w:rsidR="00012EE0" w:rsidRDefault="00012EE0">
      <w:pPr>
        <w:spacing w:line="360" w:lineRule="auto"/>
        <w:ind w:firstLine="567"/>
        <w:rPr>
          <w:sz w:val="28"/>
        </w:rPr>
      </w:pPr>
      <w:r>
        <w:rPr>
          <w:sz w:val="28"/>
        </w:rPr>
        <w:t>Кроме того, этим же законом был изменен п. «з» статьи 5 этого декрета, согласно которым:</w:t>
      </w:r>
    </w:p>
    <w:p w:rsidR="00012EE0" w:rsidRDefault="00012EE0">
      <w:pPr>
        <w:rPr>
          <w:lang w:val="uk-UA"/>
        </w:rPr>
      </w:pPr>
      <w:r>
        <w:rPr>
          <w:lang w:val="uk-UA"/>
        </w:rPr>
        <w:t xml:space="preserve">"з) проценти, дисконтні доходи і виграші по облігаціях державних позик, грошових вкладах, іменних ощадних сертифікатах, виграші за державними лотереями та державними казначейськими зобов'язаннями; </w:t>
      </w:r>
    </w:p>
    <w:p w:rsidR="00012EE0" w:rsidRDefault="00012EE0">
      <w:pPr>
        <w:rPr>
          <w:lang w:val="uk-UA"/>
        </w:rPr>
      </w:pPr>
      <w:r>
        <w:rPr>
          <w:lang w:val="uk-UA"/>
        </w:rPr>
        <w:t>доходи, одержані від відчуження громадянами акцій та інших корпоративних прав, які були набуті такими громадянами в процесі приватизації в обмін на їх приватизаційні або компенсаційні сертифікати, а також в межах їх пільгового придбання за власні кошти працівниками підприємств, що приватизуються, та особами, визначеними статтею 25 Закону України "Про приватизацію майна державних підприємств"</w:t>
      </w:r>
    </w:p>
    <w:p w:rsidR="00012EE0" w:rsidRDefault="00012EE0">
      <w:pPr>
        <w:spacing w:line="360" w:lineRule="auto"/>
        <w:ind w:firstLine="567"/>
        <w:rPr>
          <w:sz w:val="28"/>
        </w:rPr>
      </w:pPr>
      <w:r>
        <w:rPr>
          <w:sz w:val="28"/>
        </w:rPr>
        <w:t>Кроме того, согласно заключительным положениям этого закона: «</w:t>
      </w:r>
      <w:r>
        <w:rPr>
          <w:lang w:val="uk-UA"/>
        </w:rPr>
        <w:t>Дія положень підпункту "е" і другої частини підпункту "з" пункту 1 статті 5 Декрету Кабінету Міністрів України від 26 грудня 1992 року N 13-92 "Про прибутковий податок з громадян" (в редакції цього Закону) поширюється на правовідносини, які виникли з дня набрання чинності зазначеним Декретом Кабінету Міністрів України.”</w:t>
      </w:r>
    </w:p>
    <w:p w:rsidR="00012EE0" w:rsidRDefault="00012EE0">
      <w:pPr>
        <w:spacing w:line="360" w:lineRule="auto"/>
        <w:ind w:firstLine="567"/>
        <w:rPr>
          <w:sz w:val="28"/>
        </w:rPr>
      </w:pPr>
      <w:r>
        <w:rPr>
          <w:sz w:val="28"/>
        </w:rPr>
        <w:t>Т.е. всем гражданам, которые оплатили с 1992 г. подоходный налог от реализации акций полученных в результате приватизации, ГНАУ должна его вернуть?</w:t>
      </w:r>
    </w:p>
    <w:p w:rsidR="00012EE0" w:rsidRDefault="00012EE0">
      <w:pPr>
        <w:spacing w:line="360" w:lineRule="auto"/>
        <w:ind w:firstLine="567"/>
        <w:rPr>
          <w:sz w:val="28"/>
        </w:rPr>
      </w:pPr>
    </w:p>
    <w:p w:rsidR="00012EE0" w:rsidRDefault="00012EE0">
      <w:pPr>
        <w:pStyle w:val="2"/>
        <w:spacing w:line="360" w:lineRule="auto"/>
        <w:ind w:firstLine="567"/>
        <w:rPr>
          <w:rFonts w:ascii="Times New Roman" w:hAnsi="Times New Roman"/>
        </w:rPr>
      </w:pPr>
      <w:bookmarkStart w:id="3" w:name="_Toc477584285"/>
      <w:r>
        <w:rPr>
          <w:rFonts w:ascii="Times New Roman" w:hAnsi="Times New Roman"/>
        </w:rPr>
        <w:t>НАЛОГ НА ПРИБЫЛЬ ПРЕДПРИЯТИЙ</w:t>
      </w:r>
      <w:bookmarkEnd w:id="3"/>
      <w:r>
        <w:rPr>
          <w:rFonts w:ascii="Times New Roman" w:hAnsi="Times New Roman"/>
        </w:rPr>
        <w:t xml:space="preserve"> </w:t>
      </w:r>
    </w:p>
    <w:p w:rsidR="00012EE0" w:rsidRDefault="00012EE0">
      <w:pPr>
        <w:spacing w:line="360" w:lineRule="auto"/>
        <w:ind w:firstLine="567"/>
      </w:pPr>
    </w:p>
    <w:p w:rsidR="00012EE0" w:rsidRDefault="00012EE0">
      <w:pPr>
        <w:spacing w:line="360" w:lineRule="auto"/>
        <w:ind w:firstLine="567"/>
        <w:rPr>
          <w:sz w:val="28"/>
        </w:rPr>
      </w:pPr>
      <w:r>
        <w:rPr>
          <w:sz w:val="28"/>
        </w:rPr>
        <w:t xml:space="preserve">С ним возникают, в основном, три негативных момента. Первый: при проведении комиссионной деятельности, когда перечисляются средства на покупку ценных бумаг в которые входит и вознаграждение торговца, налоговая вполне может потребовать (и требует) уплаты налога на прибыль (и НДС) с него. Вне зависимости оттого, выполнил ли он свои обязательства и получит ли свои комиссионные в принципе. Так что при заключении договоров комиссии лучше указать, что вознаграждение будет получено только после завершения сделки. Второй момент носит частный характер, но достаточно важен. При приобретении ценных бумаг непосредственно у эмитента по цене, превышающей номинал, разницу между ним и ценой приобретения (эмиссионный доход эмитента) посредник не может отнести к валовым затратам. Выхода из этой ситуации нет, она детально прописана в законе. Третий момент - отделение дилерской деятельности от остальных: затраты по ней считаются отдельно и не могут перекрываться доходами от других операций. Вот такой подарок стратегическому инвестору. </w:t>
      </w:r>
    </w:p>
    <w:p w:rsidR="00012EE0" w:rsidRDefault="00012EE0">
      <w:pPr>
        <w:pStyle w:val="21"/>
        <w:spacing w:line="360" w:lineRule="auto"/>
      </w:pPr>
      <w:r>
        <w:t xml:space="preserve">И, наконец, компенсационные сертификаты. Вложение их в украинские предприятия на аукционе, оказывается, является их продажей, и с разницы между ценой приобретения и ценой отчуждения (номиналом) надо заплатить 30%. Решение этой проблемы возможно только через арбитраж. </w:t>
      </w:r>
    </w:p>
    <w:p w:rsidR="00012EE0" w:rsidRDefault="00012EE0">
      <w:pPr>
        <w:pStyle w:val="2"/>
        <w:spacing w:line="360" w:lineRule="auto"/>
        <w:ind w:firstLine="567"/>
        <w:rPr>
          <w:rFonts w:ascii="Times New Roman" w:hAnsi="Times New Roman"/>
        </w:rPr>
      </w:pPr>
      <w:bookmarkStart w:id="4" w:name="_Toc477584286"/>
      <w:r>
        <w:rPr>
          <w:rFonts w:ascii="Times New Roman" w:hAnsi="Times New Roman"/>
        </w:rPr>
        <w:t>ГОСПОШЛИНА</w:t>
      </w:r>
      <w:bookmarkEnd w:id="4"/>
      <w:r>
        <w:rPr>
          <w:rFonts w:ascii="Times New Roman" w:hAnsi="Times New Roman"/>
        </w:rPr>
        <w:t xml:space="preserve"> </w:t>
      </w:r>
    </w:p>
    <w:p w:rsidR="00012EE0" w:rsidRDefault="00012EE0">
      <w:pPr>
        <w:spacing w:line="360" w:lineRule="auto"/>
        <w:ind w:firstLine="567"/>
      </w:pPr>
    </w:p>
    <w:p w:rsidR="00012EE0" w:rsidRDefault="00012EE0">
      <w:pPr>
        <w:pStyle w:val="21"/>
        <w:spacing w:line="360" w:lineRule="auto"/>
      </w:pPr>
      <w:r>
        <w:t xml:space="preserve">Сложившаяся в Украине система налогообложения ценных бумаг предопределяет, что одним из обязательных платежей, взимаемых в пользу государства при заключении сделок с ценными бумагами, является такой неналоговый платеж, как государственная пошлина. </w:t>
      </w:r>
    </w:p>
    <w:p w:rsidR="00012EE0" w:rsidRDefault="00012EE0">
      <w:pPr>
        <w:pStyle w:val="21"/>
        <w:spacing w:line="360" w:lineRule="auto"/>
      </w:pPr>
      <w:r>
        <w:t xml:space="preserve">С развитием в Украине фондового рынка ценные бумаги активно вовлекаются в гражданский оборот, становясь объектами различных сделок. </w:t>
      </w:r>
    </w:p>
    <w:p w:rsidR="00012EE0" w:rsidRDefault="00012EE0">
      <w:pPr>
        <w:pStyle w:val="21"/>
        <w:spacing w:line="360" w:lineRule="auto"/>
      </w:pPr>
      <w:r>
        <w:t xml:space="preserve">Некоторые положения принятого еще в начале 1993 года Декрета Кабинета Министров Украины "О государственной пошлине", регулирующие порядок взимания и уплаты государственной пошлины (в том числе и за операции с ценными бумагами) не отвечают требованиям развивающегося фондового рынка Украины. </w:t>
      </w:r>
    </w:p>
    <w:p w:rsidR="00012EE0" w:rsidRDefault="00012EE0">
      <w:pPr>
        <w:pStyle w:val="21"/>
        <w:spacing w:line="360" w:lineRule="auto"/>
      </w:pPr>
      <w:r>
        <w:t xml:space="preserve">Внесение изменений в Декрет "О государственной пошлине", направленных на усовершенствование механизма налогообложения ценных бумаг, являлось только вопросом времени. </w:t>
      </w:r>
    </w:p>
    <w:p w:rsidR="00012EE0" w:rsidRDefault="00012EE0">
      <w:pPr>
        <w:pStyle w:val="21"/>
        <w:spacing w:line="360" w:lineRule="auto"/>
      </w:pPr>
      <w:r>
        <w:t xml:space="preserve">День 2 июня 1999 года ознаменовал собой новую эру в порядке налогообложения (вернее, взимания государственной пошлины) по операциям с ценными бумагами. </w:t>
      </w:r>
    </w:p>
    <w:p w:rsidR="00012EE0" w:rsidRDefault="00012EE0">
      <w:pPr>
        <w:pStyle w:val="21"/>
        <w:spacing w:line="360" w:lineRule="auto"/>
      </w:pPr>
      <w:r>
        <w:t xml:space="preserve">Именно 2 июня 1999 года в сотом номере газеты "Урядовий кур'єр" опубликован Закон Украины от 23 марта 1999 года N 539-XIV "О внесении изменений в некоторые законодательные акты Украины" (далее - Закон N 539), которым внесены значительные изменения в порядок взимания государственной пошлины по операциям с ценными бумагами. </w:t>
      </w:r>
    </w:p>
    <w:p w:rsidR="00012EE0" w:rsidRDefault="00012EE0">
      <w:pPr>
        <w:pStyle w:val="21"/>
        <w:spacing w:line="360" w:lineRule="auto"/>
      </w:pPr>
      <w:r>
        <w:t xml:space="preserve">Закон N 539 вступил в силу со дня опубликования. Этим законом внесены изменения в три действующие законодательные акты, и посвящены они не только вопросам налогообложения ценных бумаг. </w:t>
      </w:r>
    </w:p>
    <w:p w:rsidR="00012EE0" w:rsidRDefault="00012EE0">
      <w:pPr>
        <w:pStyle w:val="21"/>
        <w:spacing w:line="360" w:lineRule="auto"/>
      </w:pPr>
      <w:r>
        <w:t xml:space="preserve">Однако в данной случае будут рассмотрены только те вопросы, которые касаются изменений в уплате государственной пошлины по операциям с ценными бумагами. </w:t>
      </w:r>
    </w:p>
    <w:p w:rsidR="00012EE0" w:rsidRDefault="00012EE0">
      <w:pPr>
        <w:pStyle w:val="3"/>
      </w:pPr>
      <w:bookmarkStart w:id="5" w:name="_Toc477584287"/>
      <w:r>
        <w:t>ВЗИМАНИЕ ГОСУДАРСТВЕННОЙ ПОШЛИНЫ ЗА ОПЕРАЦИИ, ОСУЩЕСТВЛЯЕМЫЕ НА ФОНДОВЫХ БИРЖАХ, А ТАКЖЕ ЗА ПРОВЕДЕНИЕ АУКЦИОНА ПО ПРИВАТИЗАЦИИ ГОСУДАРСТВЕННОГО ИМУЩЕСТВА</w:t>
      </w:r>
      <w:bookmarkEnd w:id="5"/>
      <w:r>
        <w:t xml:space="preserve"> </w:t>
      </w:r>
    </w:p>
    <w:p w:rsidR="00012EE0" w:rsidRDefault="00012EE0">
      <w:pPr>
        <w:pStyle w:val="21"/>
        <w:spacing w:line="360" w:lineRule="auto"/>
      </w:pPr>
      <w:r>
        <w:t xml:space="preserve">Порядок взимания государственной пошлины относительно ценных бумаг определялся следующими пунктами статьи 2 Декрета Кабинета Министров Украины от 21 января 1993 года N 7-93 "О государственной пошлине": </w:t>
      </w:r>
    </w:p>
    <w:p w:rsidR="00012EE0" w:rsidRDefault="00012EE0">
      <w:pPr>
        <w:pStyle w:val="21"/>
        <w:spacing w:line="360" w:lineRule="auto"/>
      </w:pPr>
      <w:r>
        <w:t xml:space="preserve">- пунктом 9 (взимание государственной пошлины за операции с ценными бумагами); </w:t>
      </w:r>
    </w:p>
    <w:p w:rsidR="00012EE0" w:rsidRDefault="00012EE0">
      <w:pPr>
        <w:pStyle w:val="21"/>
        <w:spacing w:line="360" w:lineRule="auto"/>
      </w:pPr>
      <w:r>
        <w:t xml:space="preserve">- пунктом 10 (взимание государственной пошлины за операции, осуществляемые на товарных, сырьевых и других биржах, кроме валютной). Указанная норма Декрета обязывала плательщиков - участников фондового рынка - уплачивать государственную пошлину при заключении сделок по ценным бумагам на фондовой бирже; </w:t>
      </w:r>
    </w:p>
    <w:p w:rsidR="00012EE0" w:rsidRDefault="00012EE0">
      <w:pPr>
        <w:pStyle w:val="21"/>
        <w:spacing w:line="360" w:lineRule="auto"/>
      </w:pPr>
      <w:r>
        <w:t xml:space="preserve">- пунктом 11 (взимание государственной пошлины за проведение аукциона), который обязывал взимать государственную пошлину при проведении аукциона. Указанная норма Декрета применяется в процессе приватизации государственного имущества через сеть центров сертификатных аукционов путем продажи акций приватизируемых предприятий за приватизационные и компенсационные сертификаты. </w:t>
      </w:r>
    </w:p>
    <w:p w:rsidR="00012EE0" w:rsidRDefault="00012EE0">
      <w:pPr>
        <w:pStyle w:val="21"/>
        <w:spacing w:line="360" w:lineRule="auto"/>
      </w:pPr>
      <w:r>
        <w:t xml:space="preserve">Законом N 539 внесены существенные изменения во все перечисленные выше пункты статьи 2 Декрета "О государственной пошлине". </w:t>
      </w:r>
    </w:p>
    <w:p w:rsidR="00012EE0" w:rsidRDefault="00012EE0">
      <w:pPr>
        <w:pStyle w:val="21"/>
        <w:spacing w:line="360" w:lineRule="auto"/>
      </w:pPr>
      <w:r>
        <w:t xml:space="preserve">Рассмотрим изменения, внесенные в пункт 10 и пункт 11 статьи 2 данного Декрета. </w:t>
      </w:r>
    </w:p>
    <w:p w:rsidR="00012EE0" w:rsidRDefault="00012EE0">
      <w:pPr>
        <w:pStyle w:val="21"/>
        <w:spacing w:line="360" w:lineRule="auto"/>
      </w:pPr>
      <w:r>
        <w:t xml:space="preserve">Новой редакцией пункта 10 статьи 2 Декрета "О государственной пошлине" определено, что теперь государственная пошлина взимается только на товарных биржах и только за операции с объектами недвижимого имущества. Указанная норма действует, начиная со 2 июня 1999 года. </w:t>
      </w:r>
    </w:p>
    <w:p w:rsidR="00012EE0" w:rsidRDefault="00012EE0">
      <w:pPr>
        <w:pStyle w:val="21"/>
        <w:spacing w:line="360" w:lineRule="auto"/>
      </w:pPr>
      <w:r>
        <w:t xml:space="preserve">Следовательно, со 2 июня 1999 года операции по заключению сделок с ценными бумагами, осуществляемые на фондовой бирже, не являются объектами взимания государственной пошлины. </w:t>
      </w:r>
    </w:p>
    <w:p w:rsidR="00012EE0" w:rsidRDefault="00012EE0">
      <w:pPr>
        <w:pStyle w:val="21"/>
        <w:spacing w:line="360" w:lineRule="auto"/>
      </w:pPr>
      <w:r>
        <w:t xml:space="preserve">Новой редакцией пункта 11 статьи 2 Декрета "О государственной пошлине" определено, что теперь государственная пошлина взимается только за проведение публичных торгов (аукциона, тендера) объектами недвижимого имущества. Указанная норма действует, начиная со 2 июня 1999 года. </w:t>
      </w:r>
    </w:p>
    <w:p w:rsidR="00012EE0" w:rsidRDefault="00012EE0">
      <w:pPr>
        <w:pStyle w:val="21"/>
        <w:spacing w:line="360" w:lineRule="auto"/>
      </w:pPr>
      <w:r>
        <w:t xml:space="preserve">Следовательно, со 2 июня 1999 года не взимается государственная пошлина при проведении аукционов в процессе приватизации государственного имущества (при обмене приватизационных и компенсационных сертификатов на акции, паи приватизируемых предприятий). </w:t>
      </w:r>
    </w:p>
    <w:p w:rsidR="00012EE0" w:rsidRDefault="00012EE0">
      <w:pPr>
        <w:pStyle w:val="21"/>
        <w:spacing w:line="360" w:lineRule="auto"/>
      </w:pPr>
    </w:p>
    <w:p w:rsidR="00012EE0" w:rsidRDefault="00012EE0">
      <w:pPr>
        <w:pStyle w:val="3"/>
      </w:pPr>
      <w:bookmarkStart w:id="6" w:name="_Toc477584288"/>
      <w:r>
        <w:t>ВЗИМАНИЕ ГОСУДАРСТВЕННОЙ ПОШЛИНЫ ЗА ОПЕРАЦИИ С ЦЕННЫМИ БУМАГАМИ</w:t>
      </w:r>
      <w:bookmarkEnd w:id="6"/>
      <w:r>
        <w:t xml:space="preserve"> </w:t>
      </w:r>
    </w:p>
    <w:p w:rsidR="00012EE0" w:rsidRDefault="00012EE0">
      <w:pPr>
        <w:pStyle w:val="21"/>
        <w:spacing w:line="360" w:lineRule="auto"/>
      </w:pPr>
    </w:p>
    <w:p w:rsidR="00012EE0" w:rsidRDefault="00012EE0">
      <w:pPr>
        <w:pStyle w:val="21"/>
        <w:spacing w:line="360" w:lineRule="auto"/>
      </w:pPr>
      <w:r>
        <w:t xml:space="preserve">Более подробно остановимся на изменениях, внесенных в пункт 9 статьи 2 Декрета "О государственной пошлине", которые касаются уплаты государственной пошлины за операции с ценными бумагами. </w:t>
      </w:r>
    </w:p>
    <w:p w:rsidR="00012EE0" w:rsidRDefault="00012EE0">
      <w:pPr>
        <w:pStyle w:val="21"/>
        <w:spacing w:line="360" w:lineRule="auto"/>
      </w:pPr>
      <w:r>
        <w:t xml:space="preserve">Положительным результатом внесенных Законом N 539 изменений является то, что теперь более четко определен круг операций, по которым уплачивается государственная пошлина по ценным бумагам. </w:t>
      </w:r>
    </w:p>
    <w:p w:rsidR="00012EE0" w:rsidRDefault="00012EE0">
      <w:pPr>
        <w:pStyle w:val="21"/>
        <w:spacing w:line="360" w:lineRule="auto"/>
      </w:pPr>
      <w:r>
        <w:t xml:space="preserve">Так, если пунктом 9 статьи 2 прежней редакции Декрета "О государственной пошлине" было дано определение объекта взимания государственной пошлины, а именно что "государственная пошлина взимается за операции с ценными бумагами", то в новой редакции пункт 9 статьи 2 Декрета определен более узко и конкретно. </w:t>
      </w:r>
    </w:p>
    <w:p w:rsidR="00012EE0" w:rsidRDefault="00012EE0">
      <w:pPr>
        <w:pStyle w:val="21"/>
        <w:spacing w:line="360" w:lineRule="auto"/>
      </w:pPr>
      <w:r>
        <w:t xml:space="preserve">Теперь государственная пошлина за операции с ценными бумагами будет уплачиваться только в двух случаях: </w:t>
      </w:r>
    </w:p>
    <w:p w:rsidR="00012EE0" w:rsidRDefault="00012EE0">
      <w:pPr>
        <w:pStyle w:val="21"/>
        <w:spacing w:line="360" w:lineRule="auto"/>
      </w:pPr>
      <w:r>
        <w:t xml:space="preserve">1) при выдаче приватизационных бумаг; </w:t>
      </w:r>
    </w:p>
    <w:p w:rsidR="00012EE0" w:rsidRDefault="00012EE0">
      <w:pPr>
        <w:pStyle w:val="21"/>
        <w:spacing w:line="360" w:lineRule="auto"/>
      </w:pPr>
      <w:r>
        <w:t xml:space="preserve">2) при эмиссии ценных бумаг, кроме облигаций государственных и местных займов. </w:t>
      </w:r>
    </w:p>
    <w:p w:rsidR="00012EE0" w:rsidRDefault="00012EE0">
      <w:pPr>
        <w:pStyle w:val="21"/>
        <w:spacing w:line="360" w:lineRule="auto"/>
      </w:pPr>
      <w:r>
        <w:t xml:space="preserve">Кроме того, снижены ставки государственной пошлины (подпункт "п") пункта 6 статьи 3 Декрета "О государственной пошлине": </w:t>
      </w:r>
    </w:p>
    <w:p w:rsidR="00012EE0" w:rsidRDefault="00012EE0">
      <w:pPr>
        <w:pStyle w:val="21"/>
        <w:spacing w:line="360" w:lineRule="auto"/>
      </w:pPr>
      <w:r>
        <w:t xml:space="preserve">1) при выдаче приватизационных бумаг - размер ставки государственной пошлины составляет 0,2 процента номинального значения приватизационных бумаг (в прежней редакции подпункта "п" пункта 6 статьи 3 Декрета "О государственной пошлине" ставка государственной пошлины составляла 0,3 процента номинального значения приватизационных бумаг). Однако следует отметить, что указанное изменение незначительно накануне окончания массовой сертификатной приватизации имущества государственных предприятий; </w:t>
      </w:r>
    </w:p>
    <w:p w:rsidR="00012EE0" w:rsidRDefault="00012EE0">
      <w:pPr>
        <w:pStyle w:val="21"/>
        <w:spacing w:line="360" w:lineRule="auto"/>
      </w:pPr>
      <w:r>
        <w:t xml:space="preserve">2) при регистрации информации об эмиссии ценных бумаг ставка государственной пошлины составляет 0,1 процента номинальной стоимости эмиссии ценных бумаг (в прежней редакции подпункта "п" пункта 6 статьи 3 Декрета "О государственной пошлине" ставка государственной пошлины составляла 0,2 процента номинальной стоимости эмиссии ценных бумаг). </w:t>
      </w:r>
    </w:p>
    <w:p w:rsidR="00012EE0" w:rsidRDefault="00012EE0">
      <w:pPr>
        <w:pStyle w:val="21"/>
        <w:spacing w:line="360" w:lineRule="auto"/>
      </w:pPr>
      <w:r>
        <w:t xml:space="preserve">Самым значительным событием для участников фондового рынка является исключение из подпункта "п" пункта 6 статьи 3 Декрета "О государственной пошлине" нормы, в соответствии с которой государственная пошлина в размере 0,2 процента суммы, указанной в сделке, уплачивалась в случае заключения сделки по ценным бумагам. </w:t>
      </w:r>
    </w:p>
    <w:p w:rsidR="00012EE0" w:rsidRDefault="00012EE0">
      <w:pPr>
        <w:pStyle w:val="21"/>
        <w:spacing w:line="360" w:lineRule="auto"/>
      </w:pPr>
      <w:r>
        <w:t xml:space="preserve">Упомянутая норма Декрета "О государственной пошлине" была самой спорной для участников рынка ценных бумаг, вызывала самое большое количество разночтений и, как следствие, разногласий с контролирующими органами. </w:t>
      </w:r>
    </w:p>
    <w:p w:rsidR="00012EE0" w:rsidRDefault="00012EE0">
      <w:pPr>
        <w:pStyle w:val="21"/>
        <w:spacing w:line="360" w:lineRule="auto"/>
      </w:pPr>
      <w:r>
        <w:t xml:space="preserve">Так, например, государственную пошлину надо было платить во время заключения договора, а не во время его исполнения. Если затем стороны по ряду причин расторгали заключенный договор, возврат государственной пошлины, уплаченной по этой сделке, был весьма проблематичен. </w:t>
      </w:r>
    </w:p>
    <w:p w:rsidR="00012EE0" w:rsidRDefault="00012EE0">
      <w:pPr>
        <w:pStyle w:val="21"/>
        <w:spacing w:line="360" w:lineRule="auto"/>
      </w:pPr>
      <w:r>
        <w:t xml:space="preserve">Много недоразумений возникало и при обмене ценных бумаг, в том числе и при обмене приватизационных бумаг на инвестиционные сертификаты. Из-за нечетко сформулированной законодательной нормы следовало, что при заключении договора мены ценных бумаг государственную пошлину надо было платить в двойном размере. </w:t>
      </w:r>
    </w:p>
    <w:p w:rsidR="00012EE0" w:rsidRDefault="00012EE0">
      <w:pPr>
        <w:pStyle w:val="21"/>
        <w:spacing w:line="360" w:lineRule="auto"/>
      </w:pPr>
      <w:r>
        <w:t xml:space="preserve">Также было непонятно, должны ли платить государственную пошлину физические лица, участвующие в процессе покупки и продажи ценных бумаг. Как результат - в большинстве случаев физические лица самостоятельно вообще не уплачивали государственную пошлину. </w:t>
      </w:r>
    </w:p>
    <w:p w:rsidR="00012EE0" w:rsidRDefault="00012EE0">
      <w:pPr>
        <w:pStyle w:val="21"/>
        <w:spacing w:line="360" w:lineRule="auto"/>
      </w:pPr>
      <w:r>
        <w:t xml:space="preserve">И, наконец, уплата государственной пошлины при операциях с ценными бумагами противоречила общим принципам Декрета "О государственной пошлине". </w:t>
      </w:r>
    </w:p>
    <w:p w:rsidR="00012EE0" w:rsidRDefault="00012EE0">
      <w:pPr>
        <w:pStyle w:val="21"/>
        <w:spacing w:line="360" w:lineRule="auto"/>
      </w:pPr>
      <w:r>
        <w:t xml:space="preserve">Так, плательщиками государственной пошлины на территории Украины в соответствии со статьей 1 данного Декрета являются юридические и физические лица, за совершение в их интересах действий и выдачу документов, имеющих юридическое значение, уполномоченными на то органами. </w:t>
      </w:r>
    </w:p>
    <w:p w:rsidR="00012EE0" w:rsidRDefault="00012EE0">
      <w:pPr>
        <w:pStyle w:val="21"/>
        <w:spacing w:line="360" w:lineRule="auto"/>
      </w:pPr>
      <w:r>
        <w:t xml:space="preserve">В сделках с ценными бумагами (например, договор купли-продажи ценных бумаг или договор мены ценных бумаг) участвуют только две равноправные стороны: продавец и покупатель, и нет никакого государственного или другого уполномоченного органа, который совершал бы в отношении этих лиц какие-либо действия, имеющие юридическое значение. </w:t>
      </w:r>
    </w:p>
    <w:p w:rsidR="00012EE0" w:rsidRDefault="00012EE0">
      <w:pPr>
        <w:pStyle w:val="21"/>
        <w:spacing w:line="360" w:lineRule="auto"/>
      </w:pPr>
      <w:r>
        <w:t xml:space="preserve">Новый порядок уплаты государственной пошлины по ценным бумагам производит в целом приятное впечатление. </w:t>
      </w:r>
    </w:p>
    <w:p w:rsidR="00012EE0" w:rsidRDefault="00012EE0">
      <w:pPr>
        <w:pStyle w:val="21"/>
        <w:spacing w:line="360" w:lineRule="auto"/>
      </w:pPr>
      <w:r>
        <w:t xml:space="preserve">Испортить настроение могла бы только одна норма Закона Украины от 6 марта 1992 года "О приватизационных бумагах", а именно последний абзац пункта 3 статьи 4 названного Закона, согласно с которым за обмен приватизационных бумаг на паи, акции, иные свидетельства о праве собственности на приобретенные в процессе приватизации государственного имущества объекты уплачивается государственная пошлина. </w:t>
      </w:r>
    </w:p>
    <w:p w:rsidR="00012EE0" w:rsidRDefault="00012EE0">
      <w:pPr>
        <w:pStyle w:val="21"/>
        <w:spacing w:line="360" w:lineRule="auto"/>
      </w:pPr>
      <w:r>
        <w:t xml:space="preserve">Однако применить на практике указанную норму Закона "О приватизационных бумагах" нельзя на том основании, что Законом N 539 (статья 3 раздела II Заключительных положений) четко определено: до приведения в соответствие с Законом N 539 нормативно-правовые акты действуют в части, не противоречащей нормам указанного Закона. </w:t>
      </w:r>
    </w:p>
    <w:p w:rsidR="00012EE0" w:rsidRDefault="00012EE0">
      <w:pPr>
        <w:pStyle w:val="21"/>
        <w:spacing w:line="360" w:lineRule="auto"/>
      </w:pPr>
      <w:r>
        <w:t xml:space="preserve">Не действуют также некоторые положения Инструкции о порядке применения и взимания государственной пошлины, утвержденной приказом Главной государственной налоговой администрации Украины от 22 апреля 1993 года N 15, зарегистрированной в Министерстве юстиции Украины 19 июня 1993 года N 50, которые противоречат положениям Закона N 539. Противоречат положениям Закона N 539 пункты 73, 74, 75 и 76 данной Инструкции. </w:t>
      </w:r>
    </w:p>
    <w:p w:rsidR="00012EE0" w:rsidRDefault="00012EE0">
      <w:pPr>
        <w:pStyle w:val="21"/>
        <w:spacing w:line="360" w:lineRule="auto"/>
      </w:pPr>
      <w:r>
        <w:t xml:space="preserve">Таким образом, изменения, внесенные Законом N 539 в порядок уплаты государственной пошлины, могут оказать положительное влияние на развитие фондового рынка Украины. </w:t>
      </w:r>
    </w:p>
    <w:p w:rsidR="00012EE0" w:rsidRDefault="00012EE0">
      <w:pPr>
        <w:pStyle w:val="21"/>
        <w:spacing w:line="360" w:lineRule="auto"/>
      </w:pPr>
      <w:r>
        <w:t xml:space="preserve">Налоговое законодательство должно обеспечивать увеличение поступлений в государственный бюджет не за счет налогообложения средств, инвестируемых в экономику, а путем налогообложения финансовых результатов (прибылей) от осуществления инвестиций. </w:t>
      </w:r>
    </w:p>
    <w:p w:rsidR="00012EE0" w:rsidRDefault="00012EE0">
      <w:pPr>
        <w:pStyle w:val="21"/>
        <w:spacing w:line="360" w:lineRule="auto"/>
      </w:pPr>
      <w:r>
        <w:t xml:space="preserve">Не взимается государственная пошлина, начиная со 2 июня 1999 года: </w:t>
      </w:r>
    </w:p>
    <w:p w:rsidR="00012EE0" w:rsidRDefault="00012EE0">
      <w:pPr>
        <w:pStyle w:val="21"/>
        <w:spacing w:line="360" w:lineRule="auto"/>
      </w:pPr>
      <w:r>
        <w:t xml:space="preserve">1) При заключении любых сделок с ценными бумагами; </w:t>
      </w:r>
    </w:p>
    <w:p w:rsidR="00012EE0" w:rsidRDefault="00012EE0">
      <w:pPr>
        <w:pStyle w:val="21"/>
        <w:spacing w:line="360" w:lineRule="auto"/>
      </w:pPr>
      <w:r>
        <w:t xml:space="preserve">2) При заключении сделок с ценными бумагами на фондовых биржах; </w:t>
      </w:r>
    </w:p>
    <w:p w:rsidR="00012EE0" w:rsidRDefault="00012EE0">
      <w:pPr>
        <w:pStyle w:val="21"/>
        <w:spacing w:line="360" w:lineRule="auto"/>
      </w:pPr>
      <w:r>
        <w:t xml:space="preserve">3) При проведении аукционов в процессе приватизации государственного имущества (при обмене приватизационных и компенсационных сертификатов на акции, паи приватизируемых предприятий). </w:t>
      </w:r>
    </w:p>
    <w:p w:rsidR="00012EE0" w:rsidRDefault="00012EE0">
      <w:pPr>
        <w:pStyle w:val="21"/>
        <w:spacing w:line="360" w:lineRule="auto"/>
      </w:pPr>
    </w:p>
    <w:p w:rsidR="00012EE0" w:rsidRDefault="00012EE0">
      <w:pPr>
        <w:pStyle w:val="21"/>
        <w:spacing w:line="360" w:lineRule="auto"/>
      </w:pPr>
      <w:r>
        <w:t xml:space="preserve">Со 2 июня 1999 года размер ставки </w:t>
      </w:r>
    </w:p>
    <w:p w:rsidR="00012EE0" w:rsidRDefault="00012EE0">
      <w:pPr>
        <w:pStyle w:val="21"/>
        <w:spacing w:line="360" w:lineRule="auto"/>
      </w:pPr>
      <w:r>
        <w:t xml:space="preserve">государственной пошлины составляет: </w:t>
      </w:r>
    </w:p>
    <w:p w:rsidR="00012EE0" w:rsidRDefault="00012EE0">
      <w:pPr>
        <w:pStyle w:val="21"/>
        <w:spacing w:line="360" w:lineRule="auto"/>
      </w:pPr>
    </w:p>
    <w:p w:rsidR="00012EE0" w:rsidRDefault="00012EE0">
      <w:pPr>
        <w:pStyle w:val="21"/>
        <w:spacing w:line="360" w:lineRule="auto"/>
      </w:pPr>
      <w:r>
        <w:t xml:space="preserve">1) 0,1 процента номинальной стоимости эмиссии ценных бумаг при регистрации информации об эмиссии ценных бумаг (подпункт "п" пункта 6 статьи 3 Декрета "О государственной пошлине"; </w:t>
      </w:r>
    </w:p>
    <w:p w:rsidR="00012EE0" w:rsidRDefault="00012EE0">
      <w:pPr>
        <w:pStyle w:val="21"/>
        <w:spacing w:line="360" w:lineRule="auto"/>
      </w:pPr>
      <w:r>
        <w:t xml:space="preserve">2) 0,2 процента номинального значения приватизационных бумаг - при выдаче приватизационных бумаг (подпункт "п" пункта 6 статьи 3 Декрета "О государственной пошлине"). </w:t>
      </w:r>
    </w:p>
    <w:p w:rsidR="00012EE0" w:rsidRDefault="00012EE0">
      <w:pPr>
        <w:pStyle w:val="2"/>
        <w:spacing w:line="360" w:lineRule="auto"/>
        <w:rPr>
          <w:rFonts w:ascii="Times New Roman" w:hAnsi="Times New Roman"/>
        </w:rPr>
      </w:pPr>
      <w:bookmarkStart w:id="7" w:name="_Toc477584289"/>
      <w:r>
        <w:rPr>
          <w:rFonts w:ascii="Times New Roman" w:hAnsi="Times New Roman"/>
        </w:rPr>
        <w:t>НДС</w:t>
      </w:r>
      <w:bookmarkEnd w:id="7"/>
      <w:r>
        <w:rPr>
          <w:rFonts w:ascii="Times New Roman" w:hAnsi="Times New Roman"/>
        </w:rPr>
        <w:t xml:space="preserve"> </w:t>
      </w:r>
    </w:p>
    <w:p w:rsidR="00012EE0" w:rsidRDefault="00012EE0">
      <w:pPr>
        <w:spacing w:line="360" w:lineRule="auto"/>
      </w:pPr>
    </w:p>
    <w:p w:rsidR="00012EE0" w:rsidRDefault="00012EE0">
      <w:pPr>
        <w:pStyle w:val="21"/>
        <w:spacing w:line="360" w:lineRule="auto"/>
        <w:rPr>
          <w:lang w:val="uk-UA"/>
        </w:rPr>
      </w:pPr>
      <w:r>
        <w:t>Этот бич фондового рынка до недавнего времени взимался только с вознаграждения по комиссионной деятельности на внебиржевом рынке. Но в письме ГНАУ за подписью Алексея Шитри написано, что НДС платится с вознаграждения за услуги при проведении брокерской и дилерской деятельности. Так что при коммерческой деятельности, как ни парадоксально это звучит, в договоре лучше было указывать, что никакого вознаграждения стороны не получают. Что касается собственно уплаты НДС, то по всему выходит, что платить его с комиссионного вознаграждения было надо. Логически, конечно, понятно, что добавленной стоимости финпосредники не создают, они перераспределяют финансовые потоки, но ни законодатели, ни налоговая об этом не знают. Закон суров, но это закон, и никакой арбитраж не решит это дело в вашу пользу - надо менять законодательство. Что и было сделано. В 1999 г. был принят закон «ПРО ВНЕСЕННЯ ЗМІН ДО ДЕЯКИХ ЗАКОНІВ УКРАЇНИ З МЕТОЮ СТИМУЛЮВАННЯ ІНВЕСТИЦІЙНОЇ ДІЯЛЬНОСТІ» (від 15 липня 1999 р. N 977-XIV), этого закона, были внесены изменения в п. 3.2.7 закона «Про податок на додану варт</w:t>
      </w:r>
      <w:r>
        <w:rPr>
          <w:lang w:val="uk-UA"/>
        </w:rPr>
        <w:t>ість”:</w:t>
      </w:r>
    </w:p>
    <w:p w:rsidR="00012EE0" w:rsidRDefault="00012EE0">
      <w:pPr>
        <w:rPr>
          <w:rFonts w:ascii="Courier New" w:hAnsi="Courier New"/>
          <w:snapToGrid w:val="0"/>
          <w:sz w:val="16"/>
        </w:rPr>
      </w:pPr>
      <w:r>
        <w:rPr>
          <w:rFonts w:ascii="Courier New" w:hAnsi="Courier New"/>
          <w:snapToGrid w:val="0"/>
          <w:sz w:val="16"/>
        </w:rPr>
        <w:t>у  підпункті  3.2.7  слова  "надання брокерських, дилерських</w:t>
      </w:r>
    </w:p>
    <w:p w:rsidR="00012EE0" w:rsidRDefault="00012EE0">
      <w:pPr>
        <w:rPr>
          <w:rFonts w:ascii="Courier New" w:hAnsi="Courier New"/>
          <w:snapToGrid w:val="0"/>
          <w:sz w:val="16"/>
        </w:rPr>
      </w:pPr>
      <w:r>
        <w:rPr>
          <w:rFonts w:ascii="Courier New" w:hAnsi="Courier New"/>
          <w:snapToGrid w:val="0"/>
          <w:sz w:val="16"/>
        </w:rPr>
        <w:t>послуг з укладання договорів (контрактів) на торгівлю цінними па-</w:t>
      </w:r>
    </w:p>
    <w:p w:rsidR="00012EE0" w:rsidRDefault="00012EE0">
      <w:pPr>
        <w:rPr>
          <w:rFonts w:ascii="Courier New" w:hAnsi="Courier New"/>
          <w:snapToGrid w:val="0"/>
          <w:sz w:val="16"/>
        </w:rPr>
      </w:pPr>
      <w:r>
        <w:rPr>
          <w:rFonts w:ascii="Courier New" w:hAnsi="Courier New"/>
          <w:snapToGrid w:val="0"/>
          <w:sz w:val="16"/>
        </w:rPr>
        <w:t>перами  та  деривативами на фондових і товарних біржах, створених</w:t>
      </w:r>
    </w:p>
    <w:p w:rsidR="00012EE0" w:rsidRDefault="00012EE0">
      <w:pPr>
        <w:rPr>
          <w:rFonts w:ascii="Courier New" w:hAnsi="Courier New"/>
          <w:snapToGrid w:val="0"/>
          <w:sz w:val="16"/>
        </w:rPr>
      </w:pPr>
      <w:r>
        <w:rPr>
          <w:rFonts w:ascii="Courier New" w:hAnsi="Courier New"/>
          <w:snapToGrid w:val="0"/>
          <w:sz w:val="16"/>
        </w:rPr>
        <w:t>у  порядку,  передбаченому  законами  України "Про цінні папери і</w:t>
      </w:r>
    </w:p>
    <w:p w:rsidR="00012EE0" w:rsidRDefault="00012EE0">
      <w:pPr>
        <w:rPr>
          <w:rFonts w:ascii="Courier New" w:hAnsi="Courier New"/>
          <w:snapToGrid w:val="0"/>
          <w:sz w:val="16"/>
        </w:rPr>
      </w:pPr>
      <w:r>
        <w:rPr>
          <w:rFonts w:ascii="Courier New" w:hAnsi="Courier New"/>
          <w:snapToGrid w:val="0"/>
          <w:sz w:val="16"/>
        </w:rPr>
        <w:t>фондову  біржу" та "Про товарну біржу", замінити словами "надання</w:t>
      </w:r>
    </w:p>
    <w:p w:rsidR="00012EE0" w:rsidRDefault="00012EE0">
      <w:pPr>
        <w:rPr>
          <w:rFonts w:ascii="Courier New" w:hAnsi="Courier New"/>
          <w:snapToGrid w:val="0"/>
          <w:sz w:val="16"/>
        </w:rPr>
      </w:pPr>
      <w:r>
        <w:rPr>
          <w:rFonts w:ascii="Courier New" w:hAnsi="Courier New"/>
          <w:snapToGrid w:val="0"/>
          <w:sz w:val="16"/>
        </w:rPr>
        <w:t>комісійних  (брокерських) та дилерських послуг з торгівлі або уп-</w:t>
      </w:r>
    </w:p>
    <w:p w:rsidR="00012EE0" w:rsidRDefault="00012EE0">
      <w:pPr>
        <w:rPr>
          <w:rFonts w:ascii="Courier New" w:hAnsi="Courier New"/>
          <w:snapToGrid w:val="0"/>
          <w:sz w:val="16"/>
        </w:rPr>
      </w:pPr>
      <w:r>
        <w:rPr>
          <w:rFonts w:ascii="Courier New" w:hAnsi="Courier New"/>
          <w:snapToGrid w:val="0"/>
          <w:sz w:val="16"/>
        </w:rPr>
        <w:t>равління  цінними паперами, у тому числі приватизаційними та ком-</w:t>
      </w:r>
    </w:p>
    <w:p w:rsidR="00012EE0" w:rsidRDefault="00012EE0">
      <w:pPr>
        <w:rPr>
          <w:rFonts w:ascii="Courier New" w:hAnsi="Courier New"/>
          <w:snapToGrid w:val="0"/>
          <w:sz w:val="16"/>
        </w:rPr>
      </w:pPr>
      <w:r>
        <w:rPr>
          <w:rFonts w:ascii="Courier New" w:hAnsi="Courier New"/>
          <w:snapToGrid w:val="0"/>
          <w:sz w:val="16"/>
        </w:rPr>
        <w:t>пенсаційними  паперами (сертифікатами), інвестиційними сертифіка-</w:t>
      </w:r>
    </w:p>
    <w:p w:rsidR="00012EE0" w:rsidRDefault="00012EE0">
      <w:pPr>
        <w:rPr>
          <w:rFonts w:ascii="Courier New" w:hAnsi="Courier New"/>
          <w:snapToGrid w:val="0"/>
          <w:sz w:val="16"/>
        </w:rPr>
      </w:pPr>
      <w:r>
        <w:rPr>
          <w:rFonts w:ascii="Courier New" w:hAnsi="Courier New"/>
          <w:snapToGrid w:val="0"/>
          <w:sz w:val="16"/>
        </w:rPr>
        <w:t>тами, житловими чеками, земельними бонами та деривативами на рин-</w:t>
      </w:r>
    </w:p>
    <w:p w:rsidR="00012EE0" w:rsidRDefault="00012EE0">
      <w:pPr>
        <w:rPr>
          <w:rFonts w:ascii="Courier New" w:hAnsi="Courier New"/>
          <w:snapToGrid w:val="0"/>
          <w:sz w:val="16"/>
        </w:rPr>
      </w:pPr>
      <w:r>
        <w:rPr>
          <w:rFonts w:ascii="Courier New" w:hAnsi="Courier New"/>
          <w:snapToGrid w:val="0"/>
          <w:sz w:val="16"/>
        </w:rPr>
        <w:t>ку  цінних паперів України, а також деривативами на фондових, ва-</w:t>
      </w:r>
    </w:p>
    <w:p w:rsidR="00012EE0" w:rsidRDefault="00012EE0">
      <w:pPr>
        <w:rPr>
          <w:rFonts w:ascii="Courier New" w:hAnsi="Courier New"/>
          <w:snapToGrid w:val="0"/>
          <w:sz w:val="16"/>
        </w:rPr>
      </w:pPr>
      <w:r>
        <w:rPr>
          <w:rFonts w:ascii="Courier New" w:hAnsi="Courier New"/>
          <w:snapToGrid w:val="0"/>
          <w:sz w:val="16"/>
        </w:rPr>
        <w:t>лютних і товарних біржах, створених у порядку, передбаченому від-</w:t>
      </w:r>
    </w:p>
    <w:p w:rsidR="00012EE0" w:rsidRDefault="00012EE0">
      <w:pPr>
        <w:rPr>
          <w:rFonts w:ascii="Courier New" w:hAnsi="Courier New"/>
          <w:snapToGrid w:val="0"/>
          <w:sz w:val="16"/>
        </w:rPr>
      </w:pPr>
      <w:r>
        <w:rPr>
          <w:rFonts w:ascii="Courier New" w:hAnsi="Courier New"/>
          <w:snapToGrid w:val="0"/>
          <w:sz w:val="16"/>
        </w:rPr>
        <w:t>повідними законами"</w:t>
      </w:r>
    </w:p>
    <w:p w:rsidR="00012EE0" w:rsidRDefault="00012EE0">
      <w:pPr>
        <w:pStyle w:val="21"/>
        <w:spacing w:line="360" w:lineRule="auto"/>
      </w:pPr>
      <w:r>
        <w:t>Таким образом услуги она рынке ценных бумаг перестали быть предметом налогообложения НДС.</w:t>
      </w:r>
    </w:p>
    <w:p w:rsidR="00012EE0" w:rsidRDefault="00012EE0">
      <w:pPr>
        <w:pStyle w:val="1"/>
      </w:pPr>
      <w:bookmarkStart w:id="8" w:name="_Toc477584290"/>
      <w:r>
        <w:t>Выводы</w:t>
      </w:r>
      <w:bookmarkEnd w:id="8"/>
    </w:p>
    <w:p w:rsidR="00012EE0" w:rsidRDefault="00012EE0">
      <w:pPr>
        <w:spacing w:line="360" w:lineRule="auto"/>
        <w:ind w:firstLine="567"/>
        <w:rPr>
          <w:sz w:val="28"/>
        </w:rPr>
      </w:pPr>
      <w:r>
        <w:rPr>
          <w:sz w:val="28"/>
        </w:rPr>
        <w:t>Прошедший 1999 год можно считать переломным годом в формировании нормативной базы налогообложения на рынке ценных бумаг. Кроме перечисленных выше, был принят ряд других изменений (налогообложение средств совместного инвестирования, выпуска долговых ценных бумаг) в результате которых налоговое законодательство по этому вопросу приобрело вполне «цивилизованный» характер. Дело осталось за остальной частью экономики Украину, которую должны обслуживать ценные бумаги.</w:t>
      </w:r>
    </w:p>
    <w:p w:rsidR="00012EE0" w:rsidRDefault="00012EE0">
      <w:pPr>
        <w:pStyle w:val="1"/>
      </w:pPr>
      <w:bookmarkStart w:id="9" w:name="_Toc477584291"/>
      <w:r>
        <w:t>Список литературы</w:t>
      </w:r>
      <w:bookmarkEnd w:id="9"/>
    </w:p>
    <w:p w:rsidR="00012EE0" w:rsidRDefault="00012EE0">
      <w:pPr>
        <w:numPr>
          <w:ilvl w:val="0"/>
          <w:numId w:val="1"/>
        </w:numPr>
        <w:tabs>
          <w:tab w:val="clear" w:pos="360"/>
          <w:tab w:val="num" w:pos="927"/>
        </w:tabs>
        <w:spacing w:line="360" w:lineRule="auto"/>
        <w:ind w:left="927"/>
        <w:rPr>
          <w:sz w:val="28"/>
        </w:rPr>
      </w:pPr>
      <w:r>
        <w:rPr>
          <w:sz w:val="28"/>
        </w:rPr>
        <w:t>ПРО ПОДАТОК НА ДОДАНУ ВАРТІСТЬ. Закон України від 3 квітня 1997 р. N 168/97-ВР</w:t>
      </w:r>
    </w:p>
    <w:p w:rsidR="00012EE0" w:rsidRDefault="00012EE0">
      <w:pPr>
        <w:numPr>
          <w:ilvl w:val="0"/>
          <w:numId w:val="1"/>
        </w:numPr>
        <w:tabs>
          <w:tab w:val="clear" w:pos="360"/>
          <w:tab w:val="num" w:pos="927"/>
        </w:tabs>
        <w:spacing w:line="360" w:lineRule="auto"/>
        <w:ind w:left="927"/>
        <w:rPr>
          <w:sz w:val="28"/>
        </w:rPr>
      </w:pPr>
      <w:r>
        <w:rPr>
          <w:sz w:val="28"/>
        </w:rPr>
        <w:t>ПРО ДЕРЖАВНЕ МИТО. Декрет Кабінету міністрів України від 21 січня 1993 року N 7-93</w:t>
      </w:r>
    </w:p>
    <w:p w:rsidR="00012EE0" w:rsidRDefault="00012EE0">
      <w:pPr>
        <w:numPr>
          <w:ilvl w:val="0"/>
          <w:numId w:val="1"/>
        </w:numPr>
        <w:tabs>
          <w:tab w:val="clear" w:pos="360"/>
          <w:tab w:val="num" w:pos="927"/>
        </w:tabs>
        <w:spacing w:line="360" w:lineRule="auto"/>
        <w:ind w:left="927"/>
        <w:rPr>
          <w:sz w:val="28"/>
        </w:rPr>
      </w:pPr>
      <w:r>
        <w:rPr>
          <w:sz w:val="28"/>
        </w:rPr>
        <w:t>ПРО ПРИБУТКОВИЙ ПОДАТОК З ГРОМАДЯН. Декрет Кабінету  Міністрів України від 26 грудня 1992 року N 13-92</w:t>
      </w:r>
    </w:p>
    <w:p w:rsidR="00012EE0" w:rsidRDefault="00012EE0">
      <w:pPr>
        <w:numPr>
          <w:ilvl w:val="0"/>
          <w:numId w:val="1"/>
        </w:numPr>
        <w:tabs>
          <w:tab w:val="clear" w:pos="360"/>
          <w:tab w:val="num" w:pos="927"/>
        </w:tabs>
        <w:spacing w:line="360" w:lineRule="auto"/>
        <w:ind w:left="927"/>
        <w:rPr>
          <w:sz w:val="28"/>
        </w:rPr>
      </w:pPr>
      <w:r>
        <w:rPr>
          <w:sz w:val="28"/>
        </w:rPr>
        <w:t>ПРО ОПОДАТКУВАННЯ ПРИБУТКУ ПІДПРИЄМСТВ. Закон України від 22 травня 1997 р. N 283/97-ВР</w:t>
      </w:r>
      <w:bookmarkStart w:id="10" w:name="_GoBack"/>
      <w:bookmarkEnd w:id="10"/>
    </w:p>
    <w:sectPr w:rsidR="00012EE0">
      <w:footerReference w:type="even" r:id="rId7"/>
      <w:foot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EE0" w:rsidRDefault="00012EE0">
      <w:r>
        <w:separator/>
      </w:r>
    </w:p>
  </w:endnote>
  <w:endnote w:type="continuationSeparator" w:id="0">
    <w:p w:rsidR="00012EE0" w:rsidRDefault="0001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EE0" w:rsidRDefault="00012EE0">
    <w:pPr>
      <w:pStyle w:val="a4"/>
      <w:framePr w:wrap="around" w:vAnchor="text" w:hAnchor="margin" w:xAlign="right" w:y="1"/>
      <w:rPr>
        <w:rStyle w:val="a5"/>
      </w:rPr>
    </w:pPr>
    <w:r>
      <w:rPr>
        <w:rStyle w:val="a5"/>
        <w:noProof/>
      </w:rPr>
      <w:t>1</w:t>
    </w:r>
  </w:p>
  <w:p w:rsidR="00012EE0" w:rsidRDefault="00012EE0">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EE0" w:rsidRDefault="000C317E">
    <w:pPr>
      <w:pStyle w:val="a4"/>
      <w:framePr w:wrap="around" w:vAnchor="text" w:hAnchor="margin" w:xAlign="right" w:y="1"/>
      <w:rPr>
        <w:rStyle w:val="a5"/>
      </w:rPr>
    </w:pPr>
    <w:r>
      <w:rPr>
        <w:rStyle w:val="a5"/>
        <w:noProof/>
      </w:rPr>
      <w:t>2</w:t>
    </w:r>
  </w:p>
  <w:p w:rsidR="00012EE0" w:rsidRDefault="00012EE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EE0" w:rsidRDefault="00012EE0">
      <w:r>
        <w:separator/>
      </w:r>
    </w:p>
  </w:footnote>
  <w:footnote w:type="continuationSeparator" w:id="0">
    <w:p w:rsidR="00012EE0" w:rsidRDefault="00012E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BD52D9"/>
    <w:multiLevelType w:val="singleLevel"/>
    <w:tmpl w:val="041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317E"/>
    <w:rsid w:val="00012EE0"/>
    <w:rsid w:val="000C317E"/>
    <w:rsid w:val="00284980"/>
    <w:rsid w:val="00BA0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3745DA-4D16-4584-ABA4-ED43C28D7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envelope return"/>
    <w:basedOn w:val="a"/>
    <w:semiHidden/>
    <w:rPr>
      <w:rFonts w:ascii="Arial" w:hAnsi="Arial"/>
    </w:rPr>
  </w:style>
  <w:style w:type="paragraph" w:styleId="a3">
    <w:name w:val="Body Text Indent"/>
    <w:basedOn w:val="a"/>
    <w:semiHidden/>
    <w:pPr>
      <w:ind w:firstLine="709"/>
    </w:pPr>
    <w:rPr>
      <w:sz w:val="28"/>
    </w:rPr>
  </w:style>
  <w:style w:type="paragraph" w:styleId="21">
    <w:name w:val="Body Text Indent 2"/>
    <w:basedOn w:val="a"/>
    <w:semiHidden/>
    <w:pPr>
      <w:ind w:firstLine="567"/>
    </w:pPr>
    <w:rPr>
      <w:sz w:val="28"/>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10">
    <w:name w:val="toc 1"/>
    <w:basedOn w:val="a"/>
    <w:next w:val="a"/>
    <w:autoRedefine/>
    <w:semiHidden/>
  </w:style>
  <w:style w:type="paragraph" w:styleId="22">
    <w:name w:val="toc 2"/>
    <w:basedOn w:val="a"/>
    <w:next w:val="a"/>
    <w:autoRedefine/>
    <w:semiHidden/>
    <w:pPr>
      <w:ind w:left="200"/>
    </w:p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4485</Words>
  <Characters>25571</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CompU</Company>
  <LinksUpToDate>false</LinksUpToDate>
  <CharactersWithSpaces>29997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Шеенко</dc:creator>
  <cp:keywords/>
  <cp:lastModifiedBy>admin</cp:lastModifiedBy>
  <cp:revision>2</cp:revision>
  <cp:lastPrinted>2000-03-13T10:26:00Z</cp:lastPrinted>
  <dcterms:created xsi:type="dcterms:W3CDTF">2014-02-08T02:45:00Z</dcterms:created>
  <dcterms:modified xsi:type="dcterms:W3CDTF">2014-02-08T02:45:00Z</dcterms:modified>
</cp:coreProperties>
</file>