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2C8" w:rsidRDefault="00E742C8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bCs/>
          <w:noProof w:val="0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 w:val="0"/>
          <w:color w:val="000000"/>
          <w:sz w:val="32"/>
          <w:szCs w:val="32"/>
        </w:rPr>
        <w:t>Понятие гражданского права</w:t>
      </w:r>
    </w:p>
    <w:p w:rsidR="00E742C8" w:rsidRDefault="00E742C8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  <w:t>Предмет и метод гражданского права.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Гражданское право – термин, обозначающий важнейшую (после конституционного права) отрасль российского права, а также науку ГП, одноимённую учебную дисциплину и гражданское законодательство.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1. Гражданское право как отрасль права: предмет и метод. Предмет ГП составляют имущественные и личные неимущественные отношения а также защита неотчуждаемых прав и свобод человека. Под имущественными обычно понимают такие общественные отношения, которые возникают по поводу различного рода материальных благ, т.е. вещей, работ, услуг и иного имущества в широком смысле слова.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В предусмотренных законом случаях ГП регулирует также личные неимущественные отношения. Под личными неимущественными отношениями следует понимать возникающие по поводу неимущественных благ общественные отношения, в которых осуществляется индивидуализация личности гражданина или организации посредством выявления оценки их нравственных и иных социальных качеств (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val="en-US"/>
        </w:rPr>
        <w:t>zB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., отношения, связанные с защитой чести и достоинства).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Общественные отношения, составляющие предмет гражданского права, носят взаимооценочный характер. Взаимная же оценка участников общественных отношений может правильно формироваться лишь при условии равенства оценивающих сторон. Поэтому имущественно-стоимостные и личные неимущественные отношения получают наиболее полное развитие только в том случае, если они регулируются на основе юридического равенства сторон. Из этого логично вытекает, что в ГП применяется метод юридического равенства сторон.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Регулирование гражданских отношений основывается на: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равенстве участников;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автономии воли участников;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имущественной самостоятельности участников.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Для метода ГП характерны: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диспозитивность;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защита нарушенных гражданских прав путём применения мер имущественного характера;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sym w:font="Symbol" w:char="F0C5"/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возможна принудительная защита гражданских прав путём обращения потерпевших участников в общие суды, арбитражный суд или избранный сторонами третейский суд.</w:t>
      </w:r>
    </w:p>
    <w:p w:rsidR="00E742C8" w:rsidRDefault="00E742C8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  <w:t>Основные источники ГП – К РФ и ГК РФ.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ГП образует стройную и взаимосогласованную систему, включающую общую и особенную части. Специфичность отдельных групп отношений, входящих в предмет ГП, обуславливают деление последнего на подотрасли и ещё более компактные группы норм – институты ГП. Каждая из подотраслей (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val="en-US"/>
        </w:rPr>
        <w:t>zB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., право собственности и др. вещные права, обязательственное право, личные неимущественные права, права на результаты творческой деятельности, наследственное право, коллизионное право) также имеет свой предмет и метод правового регулирования.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2. Гражданское право как отрасль права: понятие. 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Понятие ГП вытекает из предмета и метода: гражданское право можно определить как совокупность правовых норм, регулирующих на началах юридического равенства сторон имущественно-стоимостные и личные неимущественные отношения.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2. Источники гражданского права: Основы гражданского законодательства Союза ССР и республик 1991 г., Гражданский кодекс РФ. Применение на территории России законодательства бывшего СССР. Значение судебной и арбитражной практики.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(ст. 3)</w:t>
      </w:r>
    </w:p>
    <w:p w:rsidR="00E742C8" w:rsidRDefault="00E742C8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  <w:t>1. Понятие источников гражданского права.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ИГП – формы закрепления (внешнего выражения) гражданско-правовых норм. В РФ ИГП являются: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К РФ;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ГК РФ;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др. федеральные законы;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принимаемые в соответствии с ними УПРФ, ППРФ, подзаконные нормативные акты отраслевых органов исполнительной власти;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ратифицированные РФ международные договоры и соглашения.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2. Конституция РФ. Будучи Основным Законом государства, К РФ содержит в себе нормы различных отраслей права. Среди них есть и нормы гражданского права. В частности, основу гражданско-правового регулирования отношений собственности на территории РФ составляют ст. 35, 36 К РФ. К ведению РФ ст. 71 К РФ относит гражданское законодательство и правовое регулирование интеллектуальной собственности. Основу гражданско-правового регулирования личных неимущественных отношений, возникающих по поводу таких духовных ценностей как честь, достоинство, неприкосновенность частной жизни, личная и семейная тайна, тайна переписки, телефонных переговоров, почтовых, телеграфных и иных сообщений, неприкосновенность жилища, составляют ст. 20—25 К РФ.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3. Кодифицированные нормативные акты занимают особое место среди ИГП. Отраслевые кодифицированные нормативные акты призваны в принципе урегулировать все общественные отношения, входящие в предмет гражданского права, и являются базой для развития текущего законодательства РФ. По своей юридической силе наиболее важное место в настоящее время занимают часть 1 ГК РФ, введённая в действие с 1 января 1995 г., и часть вторая, введённая в действие с 1 марта 1996 г. Готовится принятие третей части ГК РФ. Как отраслевой кодифицированный законодательный акт ГК РФ призван обеспечить единообразное правовое урегулирование имущественно-стоимостных и личных неимущественных отношений на всей территории РФ. В соответствии с этим ГК закрепляет наиболее важные положения гражданского законодательства, направленные на регулирование в принципе всех общественных отношений, входящих в предмет ГП. Характерной чертой нового ГК является то, что он заложил основу нормативной базы для гражданского оборота в условиях рыночной экономики.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Другим кодифицированным нормативным актом гражданского законодательства, действующим на территории РФ, являются Основы гражданского законодательства Союза ССР и республик, утверждённые Верховным Советом СССР 31 мая 1991 г. Основы не вступили в силу из-за распада СССР и не действовали на территории РФ до 3 августа 1992 г., пока Верховный Совет РФ 14 июля 1992 г. не принял постановление "О регулировании гражданских правоотношений в период проведения экономической реформы". В нём устанавливалось, что впредь до принятия нового ГК РФ Основы гражданского законодательства 1991 г. применяются на территории РФ, за исключением положений, устанавливающих полномочия Союза ССР в области гражданского законодательства, и в части, не противоречащей К РФ и законодательным актам РФ, принятым после 12 июня 1990 г. С принятием частей первой и второй нового ГК РФ соответствующие разделы Основ утратили силу.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Следующим кодифицированным нормативным актом гражданского законодательства является ГК РСФСР, утверждённый Верховным Советом РСФСР 11 июня 1964 г. с последующими изменениями и дополнениями. Как и Основы гражданского законодательства 1991 г., ГК РСФСР 1964 г. действует в настоящее время в той части, которая не перекрывается частью первой и второй нового ГК. Но и оставшиеся части Основ гражданского законодательства 1991 г. и ГК 1964 г. применяются постольку, поскольку не противоречат новому ГК.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Отдельные сферы общественных отношений, входящих в предмет гражданского права, регулируются специальными основами и кодексами. Так, отношения в сфере торгового мореплавания регулируются Кодексом торгового мореплавания СССР, отношения в сфере воздушных перевозок – Воздушным кодексом СССР.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4. Специальные законы. Наряду с кодифицированными нормативными актами важными ИГП являются специальные законы, регулирующие отдельные виды общественных отношений, входящих в предмет ГП.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val="en-US"/>
        </w:rPr>
        <w:t>ZB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., закон РФ "О страховании" регулирует отношения в области страхования между страховыми организациями и гражданами, предприятиями, учреждениями, организациями, а также отношения страховых организаций между собой; Патентный закон РФ регулирует имущественные и связанные с ними неимущественные отношения, возникающие в связи с созданием, правовой охраной и использованием изобретений, полезных моделей и промышленных образцов; Закон РФ "О защите прав потребителей" регулирует отношения, возникающие между потребителями и предпринимателями. Эти и другие специальные законы, хотя и не носят такого всеобъемлющего характера, как ГК РФ, Основы гражданского законодательства 1991 г. или ГК РСФСР 1964 г., тем не менее имеют чрезвычайно важное значение в переходный к рыночной экономике период, поскольку в них отражены и юридически закреплены происходящие в стране экономические преобразования.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5. Значение судебной и арбитражной практики. Разъяснения Пленума Верховного Суда РФ. обязательны для всех судов общей юрисдикции в РФ, Пленума Высшего Арбитражного суда РФ – для всей системы арбитражных судов в РФ. Указанные разъяснения являются не нормативными актами, а актами применения права. Потому постановления судебных пленумов не являются источниками гражданского права. Вместе с тем суды при разрешении конкретных споров обязаны применять соответствующие нормы гражданского права лишь в истолковании, содержащемся в постановлении соответствующего судебного пленума. Поэтому участники гражданского оборота руководствуются постановлениями судебных пленумов и тогда, когда дело не доходит до суда, что имеет чрезвычайно важное значение для обеспечения единообразного понимания и применения гражданского законодательства на всей территории РФ.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Не относятся к числу источников ГП и постановления Конституционного Суда РФ. В случае признания постановлением Конституционного Суда неконституционным акта гражданского законодательства или отдельного его положения в силу п. 6 ст. 125 К РФ этот акт или отдельное его положение утрачивает силу.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Не является источником ГП и сложившаяся судебная практика, под которой понимается многократное единообразное решение судами одной и той же категории дел. Судья, рассматривая дело, по которому сложилась судебная практика, может вынести и иное решение, если убеждён, что сложившаяся практика не соответствует закону. Вместе с тем судебная практика имеет огромное значение для выработки единообразного понимания и применения гражданского законодательства судебными органами, без чего енвозможно обеспечить законность и правопорядок в обществе.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Не относится к числу источников ГП и судебный прецедент.</w:t>
      </w:r>
    </w:p>
    <w:p w:rsidR="00E742C8" w:rsidRDefault="00E742C8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  <w:t>3. Гражданское правоотношение: понятие, элементы, виды.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1. Понятие гражданского правоотношения. Гражданское правоотношение – урегулированное нормами ГП общественное отношение, участники которого являются носителями субъективных гражданских прав и обязанностей. Гражданское правоотношение – индивидуализированное отношение, т.е. отношение между отдельными лицами, связанными между собой правами и обязанностями, определяющими обеспеченную законом меру возможного и должного поведения. Гражданское правоотношение возникает при наступлении предусмотренных законом юридических фактов (договора, административного акта, гражданского правонарушения, события и т.д.). Характерной особенностью гражданского правоотношения является юридическое равенство их участников, сохраняющееся даже в том случае, когда одним из участников является государство.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2. Элементы гражданского правоотношения: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субъекты (ст. 2):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физические лица, т.е. граждане РФ, а также (если иное не установлено законом) апатриды и иностранцы;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юридические лица РФ, а также (если иное не установлено законом) иностранные юридические лица;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РФ, субъекты РФ, муниципальные образования;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объекты: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поведение субъектов, направленное на различного рода материальные и нематериальные ценности.</w:t>
      </w:r>
    </w:p>
    <w:p w:rsidR="00E742C8" w:rsidRDefault="00E742C8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  <w:t>2. Виды гражданского правоотношения: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имущественные и личные неимущественные правоотношения (по способам защиты субъективных прав):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имущественные права защищаются по общему правилу посредством возмещения причинённых убытков;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личные неимущественные права – иные способы: задета репутация – компенсация её не восстановит, но опровержение – да;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относительные и абсолютные гражданские правоотношения (по структуре межобъектной связи):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относительные: управомоченному лицу противостоят как обязанные строго определённые лица;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абсолютные: управомоченному лицу противостоит неопределённое число обязанных лиц;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вещные и обязательственные правоотношения (по способу удовлетворения интересов управомоченного лица):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вещное: интерес управомоченного лица удовлетворяется за счёт полезных свойств вещей путём его непосредственного взаимодействия с вещью, роль обязанных лиц – пассивная;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обязательственное: за счёт определённых действий обязанных лиц, их роль – активная.</w:t>
      </w:r>
    </w:p>
    <w:p w:rsidR="00E742C8" w:rsidRDefault="00E742C8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  <w:t>. Возникновение гражданских прав и обязанностей, осуществление и защита гражданских прав.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1. Основания возникновения гражданских прав и обязанностей (ст. 8):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договоры и иные сделки, как предусмотренные законом, так и не предусмотренные, но не противоречащие ему;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акты государственных органов и органов местного самоуправления;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судебное решение;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приобретение имущества по основаниям, допускаемым законом;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создание произведений науки, литературы, искусства, изобретений и иных результатов интеллектуальной деятельности;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причинение вреда другому лицу;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неосновательное обогащение;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иные действия граждан и юридических лиц, предусмотренные законом и иными правовыми актами, а также хотя и не предусмотренные законом или такими актами, но в силу общих начал и смысла гражданского законодательства порождающие гражданские права и обязанности;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события, с которыми закон или иной правовой акт связывает наступление гражданско-правовых последствий;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+ права на имущество, подлежащее государственной регистрации, возникают с момента регистрации соответствующих прав на него, если иное не установлено законом.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Статья 9. Осуществление гражданских прав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Граждане и юридические лица по своему усмотрению осуществляют принадлежащие им гражданские права.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Отказ граждан и юридических лиц от осуществления принадлежащих им прав не влечет прекращения этих прав, за исключением случаев, предусмотренных законом.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3. Способы защиты гражданских прав (ст. 21):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признание права;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восстановление положения, существовавшего до нарушения права, и пресечение действий, нарушающих право или создающих угрозу его нарушения;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- признание оспоримой сделки недействительной и применение последствий её недействительности, применение последствий ничтожной сделки (гл. 9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sym w:font="Arial" w:char="00A7"/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2);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признание недействительным акта государственного органа или органа местного самоуправления (ст. 13);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самозащита права, способы которой должны быть соразмерны нарушению и не выходить за пределы действий, необходимых для пресечение такого нарушения (ст. 14);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присуждение к исполнению обязанности в натуре;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возмещение убытков (реальный ущерб и упущенная выгода) (ст. 15, 16);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взыскание неустойки (гл. 23 $2);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компенсация морального вреда;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прекращение или изменение правоотношения;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неприменение судом акта государственного органа или органа местного самоуправления, если он противоречит закону;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иные способы, предусмотренные законом.</w:t>
      </w:r>
    </w:p>
    <w:p w:rsidR="00E742C8" w:rsidRDefault="00E742C8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  <w:t>5. Правоспособность и дееспособность гражданина.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1. Гражданская правоспособность – способность иметь гражданские права и нести обязанности, признаётся в равной мере за всеми гражданами (ст. 17, 19):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sym w:font="Wingdings" w:char="F0AE"/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возникает в момент смерти;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sym w:font="Wingdings" w:char="F04E"/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прекращается в момент рождения;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sym w:font="Webdings" w:char="F0F0"/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тьфу! Т.е., наоборот.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Правоспособность включает права: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иметь имущество на праве собственности;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наследовать и завещать имущество;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заниматься предпринимательской и любой другой, не запрещённой законом, деятельностью;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образовывать юридические лица;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совершать любые сделки и участвовать в обязательствах;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избирать место жительства;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иметь авторские и иные, охраняемые законом, права на результаты интеллектуальной деятельности;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иметь другие права.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2. Гражданская дееспособность – способность приобретать и осуществлять права, создавать и исполнять обязанности (ст. 21):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возникает по достижении 18 лет;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если законом допускается брак до 18 лет, то несовершеннолетний приобретает дееспособность с момента вступления в брак;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эмансипация: если несовершеннолетний по достижении 16 лет работает по трудовому договору или с согласия родителей (усыновителей, попечителей) занимается предпринимательской деятельностью, то он может быть объявлен полностью дееспособным.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Правоспособность и дееспособность не может быть ограничена, кроме случаев, установленных законом (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val="en-US"/>
        </w:rPr>
        <w:t>zB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., недопустимость предпринимательской деятельности для государственных служащих).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3. Малолетние лица – несовершеннолетние, не достигшие 14 лет (ст. 28):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несовершеннолетние от 6 до 14 лет вправе самостоятельно совершать мелкие бытовые и некоторые другие сделки (ст. 28);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иные виды сделок за малолетних могут совершать от их имени только родители или опекуны;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имущественную ответственность по всем сделкам малолетних несут их родители или опекуны.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4. Несовершеннолетние лица 14—18 лет (ст. 26):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вправе самостоятельно распоряжаться своими доходами, осуществлять авторские права и совершать сделки, разрешённые малолетним;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вправе совершать иные сделки с письменного согласия родителей или попечителя;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по достижении 16 лет вправе быть членами кооператива;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самостоятельно несут ответственность по своим сделкам.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5. Признание гражданина недееспособным и ограничение дееспособности (ст. 29, 30):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гражданин может быть признан судом недееспособным вследствие психического расстройства, исключающего понимание им своих действий. Над ним устанавливается опека, и сделки от его имени совершает опекун;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гражданин может быть признан судом ограниченно дееспособным, если он вследствие злоупотребления алкоголем или наркотическими средствами ставит семью в тяжёлое материальное положение. Над ним устанавливается попечительство. Совершать сделки (кроме мелких бытовых), получать расходы и распоряжаться ими он может лишь с согласия попечителя.</w:t>
      </w:r>
    </w:p>
    <w:p w:rsidR="00E742C8" w:rsidRDefault="00E742C8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  <w:t>6. Опека и попечительство.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Ст. 31—40.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1. Общие положения: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органы опеки и попечительства – органы местного самоуправления – устанавливают опеку (попечительство) по уведомлению суда и осуществляют надзор за опекунами и попечителями;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опекун (попечитель) назначается только с его согласия, обязанности исполняет безвозмездно, доходы подопечного расходует в его интересах, в серьёзных случаях – с разрешения органа опеки;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опекун (Попечитель) может быть освобождён от обязанностей по его мотивированной просьбе, а также в случае ненадлежащего исполнения обязанностей.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2. Опека: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устанавливается над малолетними, а также над недееспособными;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опекуны совершают от их имени и в их интересах все сделки, являясь представителями в силу закона.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3. Попечительство: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устанавливается над лицами 14—18 лет, а также над ограниченно дееспособными;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попечители оказывают содействие подопечным и дают согласие на совершение ими сделок (кроме разрешённых).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4. Общие основания прекращения опеки и попечительства: если основания для обеспечения дееспособности подопечного отпали, опекун (попечитель) обязан ходатайствовать перед судом о снятии опеки (попечительства) и восстановлении дееспособности подопечного.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5. Патронаж – форма попечительства над совершеннолетним дееспособным гражданином, который по состоянию здоровья не может сам осуществлять и защищать свои права и исполнять обязанности (ст. 41):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патронаж устанавливается по просьбе гражданина органом опеки и попечительства;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попечитель (помощник) назначается только с согласия гражданина;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распоряжение имуществом подопечного осуществляется попечителем на основании договора поручения или доверительного управления, бытовые сделки совершаются с согласия подопечного;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патронаж прекращается по требованию гражданина, находящегося под патронажем;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попечитель освобождается от обязанностей в соответствии со ст. 39.</w:t>
      </w:r>
    </w:p>
    <w:p w:rsidR="00E742C8" w:rsidRDefault="00E742C8">
      <w:pPr>
        <w:widowControl w:val="0"/>
        <w:spacing w:before="120"/>
        <w:ind w:firstLine="0"/>
        <w:jc w:val="center"/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  <w:t>7. Признание гражданина безвестно отсутствующим и объявление его умершим.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1. Признание гражданина безвестно отсутствующим (ст. 42—44).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По заявлению заинтересованных лиц гражданин может быть признан судом безвестно отсутствующим, если в течение года в месте его жительства (т.е. месте, где гражданин постоянно или преимущественно проживает; для детей до 14 лет и граждан под опекой – местожительство родителей или опекуна – ст. 20) нет сведений о месте его пребывания.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Имущество гражданина, признанного безвестно отсутствующим, при необходимости постоянного управления передаётся на основании решения суда управляющему, назначенному органом опеки на основе договора о доверительном управлении, заключаемого этим органом и управляющим. Из этого имущества погашаются обязательства безвестно отсутствующего.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В случае его явки или обнаружения места пребывания суд отменяет своё решение, а орган опеки – управление его имуществом.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2. Объявление гражданина умершим (ст. 45, 46).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Гражданин может быть объявлен судом умершим: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если в месте его жительства нет сведений о месте его пребывания в течение пяти лет;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если он пропал без вести при обстоятельствах, угрожавших смертью, то – через шесть месяцев (днём смерти считается день вступления решения суда в законную силу);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если он пропал без вести в связи с военными действиями – не ранее двух лет со дня окончания военных действий (днём смерти считается день предполагаемой гибели).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В случае явки или обнаружения места пребывания гражданина, объявленного умершим: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суд отменяет своё решение;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сохранившееся имущество безвозмездно полученное любым лицом после объявления гражданина умершим, возвращается, за исключением случая, предусмотренного п. 3 ст. 302 (д</w:t>
      </w:r>
      <w:r>
        <w:rPr>
          <w:rFonts w:ascii="Times New Roman" w:hAnsi="Times New Roman" w:cs="Times New Roman"/>
          <w:color w:val="000000"/>
          <w:sz w:val="24"/>
          <w:szCs w:val="24"/>
        </w:rPr>
        <w:t>еньги, а также ценные бумаги на предъявителя не могут быть истребованы от добросовестного приобретателя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);</w:t>
      </w:r>
    </w:p>
    <w:p w:rsidR="00E742C8" w:rsidRDefault="00E742C8">
      <w:pPr>
        <w:widowControl w:val="0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- имущество, полученное возмездно, возвращается, если доказано, что приобретавший его знал, что владелец имущества жив (при невозможности возврата в натуре возвращается стоимость).</w:t>
      </w:r>
    </w:p>
    <w:p w:rsidR="00E742C8" w:rsidRDefault="00E742C8">
      <w:pPr>
        <w:widowControl w:val="0"/>
        <w:spacing w:before="120"/>
        <w:ind w:firstLine="590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bookmarkStart w:id="0" w:name="_GoBack"/>
      <w:bookmarkEnd w:id="0"/>
    </w:p>
    <w:sectPr w:rsidR="00E742C8">
      <w:pgSz w:w="11906" w:h="16838"/>
      <w:pgMar w:top="1134" w:right="1134" w:bottom="1134" w:left="1134" w:header="1440" w:footer="1440" w:gutter="0"/>
      <w:cols w:space="720"/>
      <w:noEndnote/>
      <w:docGrid w:linePitch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A8C3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283"/>
        <w:lvlJc w:val="left"/>
        <w:pPr>
          <w:ind w:left="425" w:hanging="283"/>
        </w:pPr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"/>
        <w:legacy w:legacy="1" w:legacySpace="113" w:legacyIndent="57"/>
        <w:lvlJc w:val="left"/>
        <w:pPr>
          <w:ind w:left="199" w:hanging="57"/>
        </w:pPr>
        <w:rPr>
          <w:rFonts w:ascii="Wingdings" w:hAnsi="Wingdings" w:cs="Wingdings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bullet"/>
        <w:lvlText w:val=""/>
        <w:legacy w:legacy="1" w:legacySpace="0" w:legacyIndent="283"/>
        <w:lvlJc w:val="left"/>
        <w:pPr>
          <w:ind w:left="567" w:hanging="283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47"/>
  <w:drawingGridVerticalSpacing w:val="32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6FE"/>
    <w:rsid w:val="002B59D8"/>
    <w:rsid w:val="00594ACB"/>
    <w:rsid w:val="00B646FE"/>
    <w:rsid w:val="00E7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4D9B13-AC85-4F7D-A1AE-234D91CE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ind w:firstLine="0"/>
      <w:jc w:val="left"/>
    </w:pPr>
    <w:rPr>
      <w:noProof w:val="0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rFonts w:ascii="Arial" w:hAnsi="Arial" w:cs="Arial"/>
      <w:noProof/>
      <w:sz w:val="20"/>
      <w:szCs w:val="20"/>
    </w:rPr>
  </w:style>
  <w:style w:type="paragraph" w:customStyle="1" w:styleId="1">
    <w:name w:val="Лекции 1"/>
    <w:basedOn w:val="a5"/>
    <w:uiPriority w:val="99"/>
    <w:pPr>
      <w:ind w:firstLine="720"/>
    </w:pPr>
    <w:rPr>
      <w:noProof w:val="0"/>
      <w:sz w:val="24"/>
      <w:szCs w:val="24"/>
    </w:rPr>
  </w:style>
  <w:style w:type="character" w:styleId="a6">
    <w:name w:val="footnote reference"/>
    <w:uiPriority w:val="99"/>
    <w:rPr>
      <w:vertAlign w:val="superscript"/>
    </w:rPr>
  </w:style>
  <w:style w:type="paragraph" w:styleId="a5">
    <w:name w:val="Body Text"/>
    <w:basedOn w:val="a"/>
    <w:link w:val="a7"/>
    <w:uiPriority w:val="99"/>
    <w:pPr>
      <w:spacing w:after="120"/>
    </w:pPr>
  </w:style>
  <w:style w:type="character" w:customStyle="1" w:styleId="a7">
    <w:name w:val="Основной текст Знак"/>
    <w:link w:val="a5"/>
    <w:uiPriority w:val="99"/>
    <w:semiHidden/>
    <w:rPr>
      <w:rFonts w:ascii="Arial" w:hAnsi="Arial" w:cs="Arial"/>
      <w:noProof/>
      <w:sz w:val="16"/>
      <w:szCs w:val="16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Arial" w:hAnsi="Arial" w:cs="Arial"/>
      <w:noProof/>
      <w:sz w:val="16"/>
      <w:szCs w:val="16"/>
    </w:rPr>
  </w:style>
  <w:style w:type="character" w:styleId="aa">
    <w:name w:val="page number"/>
    <w:uiPriority w:val="99"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  <w:semiHidden/>
    <w:rPr>
      <w:rFonts w:ascii="Arial" w:hAnsi="Arial" w:cs="Arial"/>
      <w:noProof/>
      <w:sz w:val="16"/>
      <w:szCs w:val="16"/>
    </w:rPr>
  </w:style>
  <w:style w:type="character" w:customStyle="1" w:styleId="ad">
    <w:name w:val="Г"/>
    <w:uiPriority w:val="99"/>
    <w:rPr>
      <w:color w:val="0000FF"/>
      <w:u w:val="single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13343</Words>
  <Characters>7606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гражданского права</vt:lpstr>
    </vt:vector>
  </TitlesOfParts>
  <Company>BMS</Company>
  <LinksUpToDate>false</LinksUpToDate>
  <CharactersWithSpaces>20908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гражданского права</dc:title>
  <dc:subject/>
  <dc:creator>Michael</dc:creator>
  <cp:keywords/>
  <dc:description/>
  <cp:lastModifiedBy>admin</cp:lastModifiedBy>
  <cp:revision>2</cp:revision>
  <cp:lastPrinted>1999-06-15T19:01:00Z</cp:lastPrinted>
  <dcterms:created xsi:type="dcterms:W3CDTF">2014-01-26T09:08:00Z</dcterms:created>
  <dcterms:modified xsi:type="dcterms:W3CDTF">2014-01-26T09:08:00Z</dcterms:modified>
</cp:coreProperties>
</file>