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6E" w:rsidRDefault="0032096E" w:rsidP="008C29D6">
      <w:pPr>
        <w:pStyle w:val="2"/>
      </w:pPr>
    </w:p>
    <w:p w:rsidR="008C29D6" w:rsidRDefault="008C29D6" w:rsidP="008C29D6">
      <w:pPr>
        <w:pStyle w:val="2"/>
      </w:pPr>
      <w:r>
        <w:t>Финансовая структура капитала и финансовый риск</w:t>
      </w:r>
    </w:p>
    <w:p w:rsidR="008C29D6" w:rsidRDefault="008C29D6" w:rsidP="008C29D6">
      <w:pPr>
        <w:pStyle w:val="a4"/>
      </w:pPr>
      <w:r>
        <w:rPr>
          <w:rStyle w:val="a5"/>
        </w:rPr>
        <w:t xml:space="preserve">Финансовая структура </w:t>
      </w:r>
      <w:r>
        <w:t>капитала — это структура основных источников средств, т. е. соотношение собственного и заемного капитала.</w:t>
      </w:r>
    </w:p>
    <w:p w:rsidR="008C29D6" w:rsidRDefault="008C29D6" w:rsidP="008C29D6">
      <w:pPr>
        <w:pStyle w:val="a4"/>
      </w:pPr>
      <w:r>
        <w:rPr>
          <w:rStyle w:val="a5"/>
        </w:rPr>
        <w:t>Собственный капитал</w:t>
      </w:r>
      <w:r>
        <w:t xml:space="preserve"> предприятия — нераспределенная прибыль, резервный капитал, различные фонды.</w:t>
      </w:r>
    </w:p>
    <w:p w:rsidR="008C29D6" w:rsidRDefault="008C29D6" w:rsidP="008C29D6">
      <w:pPr>
        <w:pStyle w:val="a4"/>
      </w:pPr>
      <w:r>
        <w:t xml:space="preserve">Финансовый капитал предприятия состоит из собственного и заемного. </w:t>
      </w:r>
      <w:r>
        <w:rPr>
          <w:rStyle w:val="a5"/>
        </w:rPr>
        <w:t>Собственный</w:t>
      </w:r>
      <w:r>
        <w:t xml:space="preserve"> капитал и резервы включают вложенный капитал и накопленную прибыль. </w:t>
      </w:r>
      <w:r>
        <w:rPr>
          <w:rStyle w:val="a5"/>
        </w:rPr>
        <w:t>Вложенный капитал</w:t>
      </w:r>
      <w:r>
        <w:t xml:space="preserve"> — это капитал, инвестированный собственником.</w:t>
      </w:r>
    </w:p>
    <w:p w:rsidR="008C29D6" w:rsidRDefault="008C29D6" w:rsidP="008C29D6">
      <w:pPr>
        <w:pStyle w:val="a4"/>
      </w:pPr>
      <w:r>
        <w:rPr>
          <w:rStyle w:val="a5"/>
        </w:rPr>
        <w:t>Накопленная прибыль</w:t>
      </w:r>
      <w:r>
        <w:t xml:space="preserve"> — это прибыль за вычетом налогов и дивидендов, которую предприятие заработало в предшествующий и настоящий период.</w:t>
      </w:r>
    </w:p>
    <w:p w:rsidR="008C29D6" w:rsidRDefault="008C29D6" w:rsidP="008C29D6">
      <w:pPr>
        <w:pStyle w:val="a4"/>
      </w:pPr>
      <w:r>
        <w:rPr>
          <w:rStyle w:val="a5"/>
        </w:rPr>
        <w:t>Заемный капитал</w:t>
      </w:r>
      <w:r>
        <w:t xml:space="preserve"> состоит из кратко- и долгосрочных обязательств. Долгосрочные обязательства — это кредиты и займы со сроком погашения более года.</w:t>
      </w:r>
    </w:p>
    <w:p w:rsidR="008C29D6" w:rsidRDefault="008C29D6" w:rsidP="008C29D6">
      <w:r>
        <w:rPr>
          <w:rStyle w:val="review-h5"/>
        </w:rPr>
        <w:t>Различия между собственным и заемным капиталом предприятия</w:t>
      </w:r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25"/>
        <w:gridCol w:w="2190"/>
        <w:gridCol w:w="2565"/>
      </w:tblGrid>
      <w:tr w:rsidR="008C29D6">
        <w:trPr>
          <w:tblCellSpacing w:w="15" w:type="dxa"/>
        </w:trPr>
        <w:tc>
          <w:tcPr>
            <w:tcW w:w="1980" w:type="dxa"/>
            <w:vMerge w:val="restart"/>
            <w:vAlign w:val="center"/>
          </w:tcPr>
          <w:p w:rsidR="008C29D6" w:rsidRDefault="008C29D6">
            <w:r>
              <w:rPr>
                <w:rStyle w:val="review-h6"/>
              </w:rPr>
              <w:t>Признак</w:t>
            </w:r>
            <w:r>
              <w:t xml:space="preserve"> </w:t>
            </w:r>
          </w:p>
        </w:tc>
        <w:tc>
          <w:tcPr>
            <w:tcW w:w="4680" w:type="dxa"/>
            <w:gridSpan w:val="2"/>
          </w:tcPr>
          <w:p w:rsidR="008C29D6" w:rsidRDefault="008C29D6">
            <w:r>
              <w:rPr>
                <w:rStyle w:val="review-h6"/>
              </w:rPr>
              <w:t>Вид капитала</w:t>
            </w:r>
            <w:r>
              <w:t xml:space="preserve"> </w:t>
            </w:r>
          </w:p>
        </w:tc>
      </w:tr>
      <w:tr w:rsidR="008C29D6">
        <w:trPr>
          <w:tblCellSpacing w:w="15" w:type="dxa"/>
        </w:trPr>
        <w:tc>
          <w:tcPr>
            <w:tcW w:w="0" w:type="auto"/>
            <w:vMerge/>
            <w:vAlign w:val="center"/>
          </w:tcPr>
          <w:p w:rsidR="008C29D6" w:rsidRDefault="008C29D6"/>
        </w:tc>
        <w:tc>
          <w:tcPr>
            <w:tcW w:w="2160" w:type="dxa"/>
          </w:tcPr>
          <w:p w:rsidR="008C29D6" w:rsidRDefault="008C29D6">
            <w:pPr>
              <w:pStyle w:val="a4"/>
            </w:pPr>
            <w:r>
              <w:rPr>
                <w:rStyle w:val="a5"/>
              </w:rPr>
              <w:t>Собственный</w:t>
            </w:r>
          </w:p>
        </w:tc>
        <w:tc>
          <w:tcPr>
            <w:tcW w:w="2520" w:type="dxa"/>
          </w:tcPr>
          <w:p w:rsidR="008C29D6" w:rsidRDefault="008C29D6">
            <w:pPr>
              <w:pStyle w:val="a4"/>
            </w:pPr>
            <w:r>
              <w:rPr>
                <w:rStyle w:val="a5"/>
              </w:rPr>
              <w:t>Заемный</w:t>
            </w:r>
          </w:p>
        </w:tc>
      </w:tr>
      <w:tr w:rsidR="008C29D6">
        <w:trPr>
          <w:tblCellSpacing w:w="15" w:type="dxa"/>
        </w:trPr>
        <w:tc>
          <w:tcPr>
            <w:tcW w:w="1980" w:type="dxa"/>
          </w:tcPr>
          <w:p w:rsidR="008C29D6" w:rsidRDefault="008C29D6">
            <w:pPr>
              <w:pStyle w:val="a4"/>
            </w:pPr>
            <w:r>
              <w:t>Непосредственное право на участие в управлении предприятием</w:t>
            </w:r>
          </w:p>
        </w:tc>
        <w:tc>
          <w:tcPr>
            <w:tcW w:w="2160" w:type="dxa"/>
            <w:vAlign w:val="center"/>
          </w:tcPr>
          <w:p w:rsidR="008C29D6" w:rsidRDefault="008C29D6">
            <w:pPr>
              <w:pStyle w:val="a4"/>
            </w:pPr>
            <w:r>
              <w:t>Дает такое право</w:t>
            </w:r>
          </w:p>
        </w:tc>
        <w:tc>
          <w:tcPr>
            <w:tcW w:w="2520" w:type="dxa"/>
            <w:vAlign w:val="center"/>
          </w:tcPr>
          <w:p w:rsidR="008C29D6" w:rsidRDefault="008C29D6">
            <w:pPr>
              <w:pStyle w:val="a4"/>
            </w:pPr>
            <w:r>
              <w:t xml:space="preserve">Не дает </w:t>
            </w:r>
            <w:r>
              <w:br/>
              <w:t>такого права</w:t>
            </w:r>
          </w:p>
        </w:tc>
      </w:tr>
      <w:tr w:rsidR="008C29D6">
        <w:trPr>
          <w:tblCellSpacing w:w="15" w:type="dxa"/>
        </w:trPr>
        <w:tc>
          <w:tcPr>
            <w:tcW w:w="1980" w:type="dxa"/>
            <w:vAlign w:val="center"/>
          </w:tcPr>
          <w:p w:rsidR="008C29D6" w:rsidRDefault="008C29D6">
            <w:pPr>
              <w:pStyle w:val="a4"/>
            </w:pPr>
            <w:r>
              <w:t>Отношение к финансовому риску</w:t>
            </w:r>
          </w:p>
        </w:tc>
        <w:tc>
          <w:tcPr>
            <w:tcW w:w="2160" w:type="dxa"/>
          </w:tcPr>
          <w:p w:rsidR="008C29D6" w:rsidRDefault="008C29D6">
            <w:pPr>
              <w:pStyle w:val="a4"/>
            </w:pPr>
            <w:r>
              <w:t>Увеличение доли собственного капитала снижает финансовый риск</w:t>
            </w:r>
          </w:p>
        </w:tc>
        <w:tc>
          <w:tcPr>
            <w:tcW w:w="2520" w:type="dxa"/>
          </w:tcPr>
          <w:p w:rsidR="008C29D6" w:rsidRDefault="008C29D6">
            <w:pPr>
              <w:pStyle w:val="a4"/>
            </w:pPr>
            <w:r>
              <w:t>Увеличение доли заемного капитала увеличивает финансовый риск</w:t>
            </w:r>
          </w:p>
        </w:tc>
      </w:tr>
      <w:tr w:rsidR="008C29D6">
        <w:trPr>
          <w:tblCellSpacing w:w="15" w:type="dxa"/>
        </w:trPr>
        <w:tc>
          <w:tcPr>
            <w:tcW w:w="1980" w:type="dxa"/>
          </w:tcPr>
          <w:p w:rsidR="008C29D6" w:rsidRDefault="008C29D6">
            <w:pPr>
              <w:pStyle w:val="a4"/>
            </w:pPr>
            <w:r>
              <w:t>Право на получение прибыли</w:t>
            </w:r>
          </w:p>
        </w:tc>
        <w:tc>
          <w:tcPr>
            <w:tcW w:w="2160" w:type="dxa"/>
          </w:tcPr>
          <w:p w:rsidR="008C29D6" w:rsidRDefault="008C29D6">
            <w:pPr>
              <w:pStyle w:val="a4"/>
            </w:pPr>
            <w:r>
              <w:t>По остаточному принципу</w:t>
            </w:r>
          </w:p>
        </w:tc>
        <w:tc>
          <w:tcPr>
            <w:tcW w:w="2520" w:type="dxa"/>
            <w:vAlign w:val="center"/>
          </w:tcPr>
          <w:p w:rsidR="008C29D6" w:rsidRDefault="008C29D6">
            <w:pPr>
              <w:pStyle w:val="a4"/>
            </w:pPr>
            <w:r>
              <w:t>Первоочередные</w:t>
            </w:r>
          </w:p>
        </w:tc>
      </w:tr>
      <w:tr w:rsidR="008C29D6">
        <w:trPr>
          <w:tblCellSpacing w:w="15" w:type="dxa"/>
        </w:trPr>
        <w:tc>
          <w:tcPr>
            <w:tcW w:w="1980" w:type="dxa"/>
          </w:tcPr>
          <w:p w:rsidR="008C29D6" w:rsidRDefault="008C29D6"/>
          <w:p w:rsidR="008C29D6" w:rsidRDefault="008C29D6">
            <w:pPr>
              <w:pStyle w:val="a4"/>
            </w:pPr>
            <w:r>
              <w:t>Очередность удовлетворения требований при банкротстве</w:t>
            </w:r>
          </w:p>
        </w:tc>
        <w:tc>
          <w:tcPr>
            <w:tcW w:w="2160" w:type="dxa"/>
            <w:vAlign w:val="center"/>
          </w:tcPr>
          <w:p w:rsidR="008C29D6" w:rsidRDefault="008C29D6">
            <w:pPr>
              <w:pStyle w:val="a4"/>
            </w:pPr>
            <w:r>
              <w:t>По остаточному принципу</w:t>
            </w:r>
          </w:p>
        </w:tc>
        <w:tc>
          <w:tcPr>
            <w:tcW w:w="2520" w:type="dxa"/>
            <w:vAlign w:val="center"/>
          </w:tcPr>
          <w:p w:rsidR="008C29D6" w:rsidRDefault="008C29D6">
            <w:pPr>
              <w:pStyle w:val="a4"/>
            </w:pPr>
            <w:r>
              <w:t>Первоочередные</w:t>
            </w:r>
          </w:p>
        </w:tc>
      </w:tr>
      <w:tr w:rsidR="008C29D6">
        <w:trPr>
          <w:tblCellSpacing w:w="15" w:type="dxa"/>
        </w:trPr>
        <w:tc>
          <w:tcPr>
            <w:tcW w:w="1980" w:type="dxa"/>
          </w:tcPr>
          <w:p w:rsidR="008C29D6" w:rsidRDefault="008C29D6">
            <w:pPr>
              <w:pStyle w:val="a4"/>
            </w:pPr>
            <w:r>
              <w:t>Срок и условия оплаты и возврата капитала</w:t>
            </w:r>
          </w:p>
        </w:tc>
        <w:tc>
          <w:tcPr>
            <w:tcW w:w="2160" w:type="dxa"/>
            <w:vAlign w:val="center"/>
          </w:tcPr>
          <w:p w:rsidR="008C29D6" w:rsidRDefault="008C29D6">
            <w:pPr>
              <w:pStyle w:val="a4"/>
            </w:pPr>
            <w:r>
              <w:t>Однозначно не установлены</w:t>
            </w:r>
          </w:p>
        </w:tc>
        <w:tc>
          <w:tcPr>
            <w:tcW w:w="2520" w:type="dxa"/>
            <w:vAlign w:val="center"/>
          </w:tcPr>
          <w:p w:rsidR="008C29D6" w:rsidRDefault="008C29D6">
            <w:pPr>
              <w:pStyle w:val="a4"/>
            </w:pPr>
            <w:r>
              <w:t>Четко определены кредитным соглашением</w:t>
            </w:r>
          </w:p>
        </w:tc>
      </w:tr>
      <w:tr w:rsidR="008C29D6">
        <w:trPr>
          <w:tblCellSpacing w:w="15" w:type="dxa"/>
        </w:trPr>
        <w:tc>
          <w:tcPr>
            <w:tcW w:w="1980" w:type="dxa"/>
          </w:tcPr>
          <w:p w:rsidR="008C29D6" w:rsidRDefault="008C29D6">
            <w:pPr>
              <w:pStyle w:val="a4"/>
            </w:pPr>
            <w:r>
              <w:t>Основное направление финансирования</w:t>
            </w:r>
          </w:p>
        </w:tc>
        <w:tc>
          <w:tcPr>
            <w:tcW w:w="2160" w:type="dxa"/>
            <w:vAlign w:val="center"/>
          </w:tcPr>
          <w:p w:rsidR="008C29D6" w:rsidRDefault="008C29D6">
            <w:pPr>
              <w:pStyle w:val="a4"/>
            </w:pPr>
            <w:r>
              <w:t>Долгосрочные активы</w:t>
            </w:r>
          </w:p>
        </w:tc>
        <w:tc>
          <w:tcPr>
            <w:tcW w:w="2520" w:type="dxa"/>
            <w:vAlign w:val="center"/>
          </w:tcPr>
          <w:p w:rsidR="008C29D6" w:rsidRDefault="008C29D6">
            <w:pPr>
              <w:pStyle w:val="a4"/>
            </w:pPr>
            <w:r>
              <w:t>Краткосрочные активы</w:t>
            </w:r>
          </w:p>
        </w:tc>
      </w:tr>
    </w:tbl>
    <w:p w:rsidR="008C29D6" w:rsidRDefault="008C29D6" w:rsidP="008C29D6">
      <w:pPr>
        <w:pStyle w:val="a4"/>
      </w:pPr>
      <w:r>
        <w:t>Финансовая устойчивость предприятия — его платежеспособность.</w:t>
      </w:r>
    </w:p>
    <w:p w:rsidR="008C29D6" w:rsidRDefault="008C29D6" w:rsidP="008C29D6">
      <w:pPr>
        <w:pStyle w:val="a4"/>
      </w:pPr>
      <w:r>
        <w:t>Коэффициенты оценки финансовой устойчивости предприятия следующие:</w:t>
      </w:r>
    </w:p>
    <w:p w:rsidR="008C29D6" w:rsidRDefault="008C29D6" w:rsidP="008C29D6">
      <w:pPr>
        <w:pStyle w:val="4"/>
      </w:pPr>
      <w:r>
        <w:t>1. Коэффициент концентрации собственного капитала</w:t>
      </w:r>
    </w:p>
    <w:p w:rsidR="008C29D6" w:rsidRDefault="00393D2B" w:rsidP="008C29D6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6.25pt;height:36pt">
            <v:imagedata r:id="rId5" o:title=""/>
          </v:shape>
        </w:pict>
      </w:r>
    </w:p>
    <w:p w:rsidR="008C29D6" w:rsidRDefault="008C29D6" w:rsidP="008C29D6">
      <w:pPr>
        <w:pStyle w:val="a4"/>
      </w:pPr>
      <w:r>
        <w:t>где К</w:t>
      </w:r>
      <w:r>
        <w:rPr>
          <w:vertAlign w:val="subscript"/>
        </w:rPr>
        <w:t>с</w:t>
      </w:r>
      <w:r>
        <w:t xml:space="preserve"> — собственный капитал; К — суммарный (собственный и заемный) капитал; К</w:t>
      </w:r>
      <w:r>
        <w:rPr>
          <w:vertAlign w:val="subscript"/>
        </w:rPr>
        <w:t>кск</w:t>
      </w:r>
      <w:r>
        <w:t xml:space="preserve"> — доля собственного капитала в финансовой структуре капитала.</w:t>
      </w:r>
    </w:p>
    <w:p w:rsidR="008C29D6" w:rsidRDefault="008C29D6" w:rsidP="008C29D6">
      <w:pPr>
        <w:pStyle w:val="a4"/>
      </w:pPr>
      <w:r>
        <w:t>Для сохранения финансовой устойчивости К</w:t>
      </w:r>
      <w:r>
        <w:rPr>
          <w:vertAlign w:val="subscript"/>
        </w:rPr>
        <w:t>кск</w:t>
      </w:r>
      <w:r>
        <w:t xml:space="preserve"> должен быть не менее 60% (К</w:t>
      </w:r>
      <w:r>
        <w:rPr>
          <w:vertAlign w:val="subscript"/>
        </w:rPr>
        <w:t>кск</w:t>
      </w:r>
      <w:r>
        <w:t xml:space="preserve"> ≥ 60%).</w:t>
      </w:r>
    </w:p>
    <w:p w:rsidR="008C29D6" w:rsidRDefault="008C29D6" w:rsidP="008C29D6">
      <w:pPr>
        <w:pStyle w:val="4"/>
      </w:pPr>
      <w:r>
        <w:t>2. Коэффициент финансовой зависимости</w:t>
      </w:r>
    </w:p>
    <w:p w:rsidR="008C29D6" w:rsidRDefault="00393D2B" w:rsidP="008C29D6">
      <w:pPr>
        <w:pStyle w:val="a4"/>
      </w:pPr>
      <w:r>
        <w:pict>
          <v:shape id="_x0000_i1034" type="#_x0000_t75" style="width:93pt;height:33.75pt">
            <v:imagedata r:id="rId6" o:title=""/>
          </v:shape>
        </w:pict>
      </w:r>
    </w:p>
    <w:p w:rsidR="008C29D6" w:rsidRDefault="008C29D6" w:rsidP="008C29D6">
      <w:pPr>
        <w:pStyle w:val="a4"/>
      </w:pPr>
      <w:r>
        <w:t>где К</w:t>
      </w:r>
      <w:r>
        <w:rPr>
          <w:vertAlign w:val="subscript"/>
        </w:rPr>
        <w:t>з</w:t>
      </w:r>
      <w:r>
        <w:t xml:space="preserve"> — заемный капитал; К</w:t>
      </w:r>
      <w:r>
        <w:rPr>
          <w:vertAlign w:val="subscript"/>
        </w:rPr>
        <w:t>с</w:t>
      </w:r>
      <w:r>
        <w:t xml:space="preserve"> — собственный капитал; К</w:t>
      </w:r>
      <w:r>
        <w:rPr>
          <w:vertAlign w:val="subscript"/>
        </w:rPr>
        <w:t>фз</w:t>
      </w:r>
      <w:r>
        <w:t xml:space="preserve"> — характеризует финансовую зависимость предприятия от внешних займов.</w:t>
      </w:r>
    </w:p>
    <w:p w:rsidR="008C29D6" w:rsidRDefault="008C29D6" w:rsidP="008C29D6">
      <w:pPr>
        <w:pStyle w:val="a4"/>
      </w:pPr>
      <w:r>
        <w:t>Чем выше К</w:t>
      </w:r>
      <w:r>
        <w:rPr>
          <w:vertAlign w:val="subscript"/>
        </w:rPr>
        <w:t>фз</w:t>
      </w:r>
      <w:r>
        <w:t>, тем хуже финансовая устойчивость предприятия.</w:t>
      </w:r>
    </w:p>
    <w:p w:rsidR="008C29D6" w:rsidRDefault="008C29D6" w:rsidP="008C29D6">
      <w:pPr>
        <w:pStyle w:val="a4"/>
      </w:pPr>
      <w:r>
        <w:t xml:space="preserve">Финансовая устойчивость предприятия связана с понятием </w:t>
      </w:r>
      <w:r>
        <w:rPr>
          <w:rStyle w:val="a5"/>
        </w:rPr>
        <w:t>«цена капитала»</w:t>
      </w:r>
      <w:r>
        <w:t>.</w:t>
      </w:r>
    </w:p>
    <w:p w:rsidR="008C29D6" w:rsidRDefault="008C29D6" w:rsidP="008C29D6">
      <w:pPr>
        <w:pStyle w:val="a4"/>
      </w:pPr>
      <w:r>
        <w:rPr>
          <w:rStyle w:val="a5"/>
        </w:rPr>
        <w:t>Цена (стоимость) капитала</w:t>
      </w:r>
      <w:r>
        <w:t xml:space="preserve"> — это общая сумма средств, которую необходимо уплатить за использование определенного объема финансовых ресурсов, выраженная в процентах к этому объему.</w:t>
      </w:r>
    </w:p>
    <w:p w:rsidR="008C29D6" w:rsidRDefault="008C29D6" w:rsidP="008C29D6">
      <w:pPr>
        <w:pStyle w:val="a4"/>
      </w:pPr>
      <w:r>
        <w:rPr>
          <w:rStyle w:val="a5"/>
        </w:rPr>
        <w:t>Цена капитала характеризует</w:t>
      </w:r>
      <w:r>
        <w:t>:</w:t>
      </w:r>
    </w:p>
    <w:p w:rsidR="008C29D6" w:rsidRDefault="008C29D6" w:rsidP="008C29D6">
      <w:pPr>
        <w:numPr>
          <w:ilvl w:val="0"/>
          <w:numId w:val="1"/>
        </w:numPr>
        <w:spacing w:before="100" w:beforeAutospacing="1" w:after="100" w:afterAutospacing="1"/>
      </w:pPr>
      <w:r>
        <w:t>уровень цены, которую предриятие должно уплатить владельцам</w:t>
      </w:r>
    </w:p>
    <w:p w:rsidR="008C29D6" w:rsidRDefault="008C29D6" w:rsidP="008C29D6">
      <w:pPr>
        <w:numPr>
          <w:ilvl w:val="0"/>
          <w:numId w:val="1"/>
        </w:numPr>
        <w:spacing w:before="100" w:beforeAutospacing="1" w:after="100" w:afterAutospacing="1"/>
      </w:pPr>
      <w:r>
        <w:t>норму прибыли инвестированного капитала</w:t>
      </w:r>
    </w:p>
    <w:p w:rsidR="008C29D6" w:rsidRDefault="008C29D6" w:rsidP="008C29D6">
      <w:pPr>
        <w:pStyle w:val="a4"/>
      </w:pPr>
      <w:r>
        <w:t xml:space="preserve">Каждый источник финансовых средств имеет свою цену. Поэтому выделяют </w:t>
      </w:r>
      <w:r>
        <w:rPr>
          <w:rStyle w:val="a5"/>
        </w:rPr>
        <w:t>показатель средневзвешенной цены капитала.</w:t>
      </w:r>
    </w:p>
    <w:p w:rsidR="008C29D6" w:rsidRDefault="008C29D6" w:rsidP="008C29D6">
      <w:pPr>
        <w:pStyle w:val="a4"/>
      </w:pPr>
      <w:r>
        <w:t xml:space="preserve">Цена источников привлеченных средств рассчитывается в процентах к привлеченным средствам. Зная цены отдельных источников и их долю в общей сумме авансированного капитала, можно определить </w:t>
      </w:r>
      <w:r>
        <w:rPr>
          <w:rStyle w:val="a5"/>
        </w:rPr>
        <w:t>средневзвешенную цену капитала</w:t>
      </w:r>
      <w:r>
        <w:t>:</w:t>
      </w:r>
    </w:p>
    <w:p w:rsidR="008C29D6" w:rsidRDefault="00393D2B" w:rsidP="008C29D6">
      <w:pPr>
        <w:pStyle w:val="a4"/>
      </w:pPr>
      <w:r>
        <w:pict>
          <v:shape id="_x0000_i1037" type="#_x0000_t75" style="width:89.25pt;height:24pt">
            <v:imagedata r:id="rId7" o:title=""/>
          </v:shape>
        </w:pict>
      </w:r>
    </w:p>
    <w:p w:rsidR="008C29D6" w:rsidRDefault="008C29D6" w:rsidP="008C29D6">
      <w:pPr>
        <w:pStyle w:val="a4"/>
      </w:pPr>
      <w:r>
        <w:t>где Ц</w:t>
      </w:r>
      <w:r>
        <w:rPr>
          <w:vertAlign w:val="subscript"/>
        </w:rPr>
        <w:t>к</w:t>
      </w:r>
      <w:r>
        <w:t xml:space="preserve"> — цена капитала предприятия; j — количество источников средств; Ц</w:t>
      </w:r>
      <w:r>
        <w:rPr>
          <w:vertAlign w:val="subscript"/>
        </w:rPr>
        <w:t>j</w:t>
      </w:r>
      <w:r>
        <w:t xml:space="preserve"> — цена каждого источника; q</w:t>
      </w:r>
      <w:r>
        <w:rPr>
          <w:vertAlign w:val="subscript"/>
        </w:rPr>
        <w:t>j</w:t>
      </w:r>
      <w:r>
        <w:t xml:space="preserve"> — доля источников в общей сумме капитала.</w:t>
      </w:r>
    </w:p>
    <w:p w:rsidR="008C29D6" w:rsidRDefault="008C29D6" w:rsidP="008C29D6">
      <w:pPr>
        <w:pStyle w:val="2"/>
      </w:pPr>
      <w:bookmarkStart w:id="0" w:name="a2"/>
      <w:bookmarkEnd w:id="0"/>
      <w:r>
        <w:t>Финансовый риск</w:t>
      </w:r>
    </w:p>
    <w:p w:rsidR="008C29D6" w:rsidRDefault="008C29D6" w:rsidP="008C29D6">
      <w:pPr>
        <w:pStyle w:val="a4"/>
      </w:pPr>
      <w:r>
        <w:t xml:space="preserve">Оценка финансовой структуры капитала неразрывно связана с расчетом </w:t>
      </w:r>
      <w:r>
        <w:rPr>
          <w:rStyle w:val="a5"/>
        </w:rPr>
        <w:t>финансового риска.</w:t>
      </w:r>
    </w:p>
    <w:p w:rsidR="008C29D6" w:rsidRDefault="008C29D6" w:rsidP="008C29D6">
      <w:pPr>
        <w:pStyle w:val="a4"/>
      </w:pPr>
      <w:r>
        <w:t xml:space="preserve">Расчет </w:t>
      </w:r>
      <w:r>
        <w:rPr>
          <w:rStyle w:val="a5"/>
        </w:rPr>
        <w:t>эффекта финансового рычага</w:t>
      </w:r>
      <w:r>
        <w:t xml:space="preserve"> дает количественную оценку финансового риска.</w:t>
      </w:r>
    </w:p>
    <w:p w:rsidR="008C29D6" w:rsidRDefault="008C29D6" w:rsidP="008C29D6">
      <w:pPr>
        <w:pStyle w:val="a4"/>
      </w:pPr>
      <w:r>
        <w:rPr>
          <w:rStyle w:val="a5"/>
        </w:rPr>
        <w:t>Финансовый риск</w:t>
      </w:r>
      <w:r>
        <w:t xml:space="preserve"> — комплексное понятие, включающее вероятность:</w:t>
      </w:r>
    </w:p>
    <w:p w:rsidR="008C29D6" w:rsidRDefault="008C29D6" w:rsidP="008C29D6">
      <w:pPr>
        <w:numPr>
          <w:ilvl w:val="0"/>
          <w:numId w:val="2"/>
        </w:numPr>
        <w:spacing w:before="100" w:beforeAutospacing="1" w:after="100" w:afterAutospacing="1"/>
      </w:pPr>
      <w:r>
        <w:t>потери прибыли в связи с чрезмерными объемами заемного капитала;</w:t>
      </w:r>
    </w:p>
    <w:p w:rsidR="008C29D6" w:rsidRDefault="008C29D6" w:rsidP="008C29D6">
      <w:pPr>
        <w:numPr>
          <w:ilvl w:val="0"/>
          <w:numId w:val="2"/>
        </w:numPr>
        <w:spacing w:before="100" w:beforeAutospacing="1" w:after="100" w:afterAutospacing="1"/>
      </w:pPr>
      <w:r>
        <w:t>уплаты процентов и основной части долга не в срок.</w:t>
      </w:r>
    </w:p>
    <w:p w:rsidR="008C29D6" w:rsidRDefault="008C29D6" w:rsidP="008C29D6">
      <w:pPr>
        <w:pStyle w:val="a4"/>
      </w:pPr>
      <w:r>
        <w:rPr>
          <w:rStyle w:val="a5"/>
        </w:rPr>
        <w:t>Методы расчета финансового рычага</w:t>
      </w:r>
      <w:r>
        <w:t>:</w:t>
      </w:r>
    </w:p>
    <w:p w:rsidR="008C29D6" w:rsidRDefault="008C29D6" w:rsidP="008C29D6">
      <w:pPr>
        <w:pStyle w:val="a4"/>
      </w:pPr>
      <w:r>
        <w:rPr>
          <w:rStyle w:val="a5"/>
        </w:rPr>
        <w:t>I метод</w:t>
      </w:r>
      <w:r>
        <w:t>:</w:t>
      </w:r>
    </w:p>
    <w:p w:rsidR="008C29D6" w:rsidRDefault="00393D2B" w:rsidP="008C29D6">
      <w:pPr>
        <w:pStyle w:val="a4"/>
      </w:pPr>
      <w:r>
        <w:pict>
          <v:shape id="_x0000_i1040" type="#_x0000_t75" style="width:181.5pt;height:34.5pt">
            <v:imagedata r:id="rId8" o:title=""/>
          </v:shape>
        </w:pict>
      </w:r>
    </w:p>
    <w:p w:rsidR="008C29D6" w:rsidRDefault="008C29D6" w:rsidP="008C29D6">
      <w:pPr>
        <w:pStyle w:val="a4"/>
      </w:pPr>
      <w:r>
        <w:t>где СНП — ставка налога на прибыль; ЭР — экономическая рентабельность; К</w:t>
      </w:r>
      <w:r>
        <w:rPr>
          <w:vertAlign w:val="subscript"/>
        </w:rPr>
        <w:t>з</w:t>
      </w:r>
      <w:r>
        <w:t xml:space="preserve"> — заемный капитал; К</w:t>
      </w:r>
      <w:r>
        <w:rPr>
          <w:vertAlign w:val="subscript"/>
        </w:rPr>
        <w:t>с</w:t>
      </w:r>
      <w:r>
        <w:t xml:space="preserve"> — собственный капитал; СРСП — средняя расчетная ставка процента; ЭФР — эффект финансового рычага (возможное приращение к рентабельности собственных средств, связанное с использованием заемных средств).</w:t>
      </w:r>
    </w:p>
    <w:p w:rsidR="008C29D6" w:rsidRDefault="008C29D6" w:rsidP="008C29D6">
      <w:pPr>
        <w:pStyle w:val="a4"/>
      </w:pPr>
      <w:r>
        <w:t>Если СРСП &lt; ЭР, то у предприятия, использующего заемные средства, рентабельность собственных средств возрастет на ЭФР.</w:t>
      </w:r>
    </w:p>
    <w:p w:rsidR="008C29D6" w:rsidRDefault="008C29D6" w:rsidP="008C29D6">
      <w:pPr>
        <w:pStyle w:val="a4"/>
      </w:pPr>
      <w:r>
        <w:t>Если СРСП &gt; ЭР, то рентабельность собственных средств у предприятия, берущего кредит, будет ниже, чем у предприятия, которое этого не делает.</w:t>
      </w:r>
    </w:p>
    <w:p w:rsidR="008C29D6" w:rsidRDefault="008C29D6" w:rsidP="008C29D6">
      <w:pPr>
        <w:pStyle w:val="a4"/>
      </w:pPr>
      <w:r>
        <w:rPr>
          <w:rStyle w:val="a5"/>
        </w:rPr>
        <w:t>II метод:</w:t>
      </w:r>
    </w:p>
    <w:p w:rsidR="008C29D6" w:rsidRDefault="00393D2B" w:rsidP="008C29D6">
      <w:pPr>
        <w:pStyle w:val="a4"/>
      </w:pPr>
      <w:r>
        <w:pict>
          <v:shape id="_x0000_i1043" type="#_x0000_t75" style="width:195.75pt;height:34.5pt">
            <v:imagedata r:id="rId9" o:title=""/>
          </v:shape>
        </w:pict>
      </w:r>
    </w:p>
    <w:p w:rsidR="00B56A71" w:rsidRDefault="00B56A71">
      <w:bookmarkStart w:id="1" w:name="_GoBack"/>
      <w:bookmarkEnd w:id="1"/>
    </w:p>
    <w:sectPr w:rsidR="00B5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A04AC"/>
    <w:multiLevelType w:val="multilevel"/>
    <w:tmpl w:val="ED72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65025"/>
    <w:multiLevelType w:val="multilevel"/>
    <w:tmpl w:val="BD7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9D6"/>
    <w:rsid w:val="003165E4"/>
    <w:rsid w:val="0032096E"/>
    <w:rsid w:val="00393D2B"/>
    <w:rsid w:val="008C29D6"/>
    <w:rsid w:val="00B56A71"/>
    <w:rsid w:val="00DA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70D411F-179C-47B7-8E37-58EC116A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8C29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qFormat/>
    <w:rsid w:val="008C29D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3165E4"/>
  </w:style>
  <w:style w:type="paragraph" w:styleId="a4">
    <w:name w:val="Normal (Web)"/>
    <w:basedOn w:val="a"/>
    <w:rsid w:val="008C29D6"/>
    <w:pPr>
      <w:spacing w:before="100" w:beforeAutospacing="1" w:after="100" w:afterAutospacing="1"/>
    </w:pPr>
  </w:style>
  <w:style w:type="character" w:styleId="a5">
    <w:name w:val="Strong"/>
    <w:basedOn w:val="a0"/>
    <w:qFormat/>
    <w:rsid w:val="008C29D6"/>
    <w:rPr>
      <w:b/>
      <w:bCs/>
    </w:rPr>
  </w:style>
  <w:style w:type="character" w:customStyle="1" w:styleId="review-h5">
    <w:name w:val="review-h5"/>
    <w:basedOn w:val="a0"/>
    <w:rsid w:val="008C29D6"/>
  </w:style>
  <w:style w:type="character" w:customStyle="1" w:styleId="review-h6">
    <w:name w:val="review-h6"/>
    <w:basedOn w:val="a0"/>
    <w:rsid w:val="008C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Финансовая структура капитала и финансовый риск</vt:lpstr>
    </vt:vector>
  </TitlesOfParts>
  <Company>Дом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структура капитала и финансовый риск</dc:title>
  <dc:subject/>
  <dc:creator>user</dc:creator>
  <cp:keywords/>
  <dc:description/>
  <cp:lastModifiedBy>admin</cp:lastModifiedBy>
  <cp:revision>2</cp:revision>
  <dcterms:created xsi:type="dcterms:W3CDTF">2014-03-29T17:33:00Z</dcterms:created>
  <dcterms:modified xsi:type="dcterms:W3CDTF">2014-03-29T17:33:00Z</dcterms:modified>
</cp:coreProperties>
</file>