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3D" w:rsidRPr="00A62419" w:rsidRDefault="0056443D" w:rsidP="0056443D">
      <w:pPr>
        <w:spacing w:before="120"/>
        <w:jc w:val="center"/>
        <w:rPr>
          <w:b/>
          <w:bCs/>
          <w:sz w:val="32"/>
          <w:szCs w:val="32"/>
        </w:rPr>
      </w:pPr>
      <w:r w:rsidRPr="00A62419">
        <w:rPr>
          <w:b/>
          <w:bCs/>
          <w:sz w:val="32"/>
          <w:szCs w:val="32"/>
        </w:rPr>
        <w:t>Лечение внебольничной пневмонии</w:t>
      </w:r>
    </w:p>
    <w:p w:rsidR="0056443D" w:rsidRPr="00A62419" w:rsidRDefault="0056443D" w:rsidP="0056443D">
      <w:pPr>
        <w:spacing w:before="120"/>
        <w:jc w:val="center"/>
        <w:rPr>
          <w:sz w:val="28"/>
          <w:szCs w:val="28"/>
        </w:rPr>
      </w:pPr>
      <w:r w:rsidRPr="00A62419">
        <w:rPr>
          <w:sz w:val="28"/>
          <w:szCs w:val="28"/>
        </w:rPr>
        <w:t>Д.м.н. С.Н. Авдеев, НИИ пульмонологии МЗ РФ, Москва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Современные классификации, в зависимости от условий возникновения заболевания, подразделяют пневмонии на две большие группы: внебольничные и нозокомиальные (госпитальные) пневмонии [3]. Отдельно выделяют пневмонии у больных с тяжелыми дефектами иммунитета и аспирационные пневмонии [5]. Такой подход обоснован различными причинными факторами пневмоний и различными подходами к выбору антибактериальной терапии.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Внебольничные пневмонии условно можно разделить на 3 группы: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1. Пневмонии, не требующие госпитализации. Данная группа больных – самая многочисленная, на ее долю приходится до 80% всех больных с пневмонией; эти больные имеют легкую пневмонию и могут получать терапию в амбулаторных условиях, летальность не превышает 1–5% [7].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2. Пневмонии, требующие госпитализации больных в стационар. Эта группа составляет около 20% всех пневмоний, больные пневмонией имеют фоновые хронические заболевания и выраженные клинические симптомы, риск летальности госпитализированных больных достигает 12% [7].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3. Пневмонии, требующие госпитализации больных в отделения интенсивной терапии. Такие пациенты определяются как больные с тяжелой внебольничной пневмонией. Летальность при тяжелой пневмонии составляет около 40% [7]. </w:t>
      </w:r>
    </w:p>
    <w:p w:rsidR="0056443D" w:rsidRPr="00A62419" w:rsidRDefault="0056443D" w:rsidP="0056443D">
      <w:pPr>
        <w:spacing w:before="120"/>
        <w:jc w:val="center"/>
        <w:rPr>
          <w:b/>
          <w:bCs/>
          <w:sz w:val="28"/>
          <w:szCs w:val="28"/>
        </w:rPr>
      </w:pPr>
      <w:r w:rsidRPr="00A62419">
        <w:rPr>
          <w:b/>
          <w:bCs/>
          <w:sz w:val="28"/>
          <w:szCs w:val="28"/>
        </w:rPr>
        <w:t xml:space="preserve">Микробиология внебольничной пневмонии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Микробиологическая идентификация возбудителя возможна лишь в 40–60% случаев всех пневмоний. Структура возбудителей внебольничных пневмоний, основанная на результатах 41–го проспективного исследования (они проводились в Европе), представлена в таблице 1 [23].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240.75pt">
            <v:imagedata r:id="rId4" o:title=""/>
          </v:shape>
        </w:pic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Streptococcus pneumoniae является ведущей причиной внебольничных пневмоний как среди больных с легкой, так и тяжелой пневмонией (около 20%). Среди больных пневмонией с бактериемией, на долю S. pneumoniae приходится до двух третей всех причин заболевания.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Второе место по значению среди причин внебольничных пневмоний занимают «атипичные» микроорганизмы – Mycoplasma pneumoniae и Chlamydophila pneumoniae (до 10–20%), распространенность данных возбудителей зависит от сезона, возраста больных, географического региона.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Staphylococcus aureus, Legionella pneumophila и грамотрицательные бактерии (Klebsiella pneumoniae, Pseudomonas aeuruginosa и др) играют более скромную роль в генезе внебольничных пневмоний, однако их роль возрастает по мере нарастания тяжести заболевания. Инфекции Legionella spp. встречаются, в основном, в регионах с теплым климатом (страны Средиземноморья), и довольно редко – в странах Северной Европы [23].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Роль анаэробных микроорганизмов в генезе внебольничных пневмоний небольшая, но значительно возрастает при аспирационных пневмониях – до 50% всех причин. Вирусные инфекции являются причиной 5–15% всех внебольничных пневмоний, при этом основное значение имеет вирус гриппа, меньшее – вирусы парагриппа, аденовирусы, респираторно–синтициальный вирус. Вирусные пневмонии имеют сезонное преобладание, преимущественно в осенне–зимнее время.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На протяжении последних лет во всем мире наблюдается стремительный рост резистентности возбудителей пневмоний к антибактериальным препаратам. Для некоторых патогенов ситуация резистентности к антимикробным препаратам является сходной во всем мире. Так, например, практически все штаммы Moraxella catarrhalis являются продуцентами b-лактамаз, а атипичные микроорганизмы (микоплазма, хламидия, легионелла) практически не имеют проблем с развитием приобретенной устойчивости к антибиотикам. Однако для S. pneumoniae и H. influenzae пропорция резистентных штаммов значительно варьирует как между странами, так и между регионами одной страны.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Значительно увеличилась доля пневмоний, вызываемых штаммами S. pneumoniae, устойчивыми к пенициллину, и к другим антибиотикам (полирезистентные штаммы). Доля штаммов S. pneumoniae, резистентных к пенициллину, в мире варьирует от &lt; 5% до &gt; 50%, что зависит от географического региона, популяции (чаще у детей), локализации инфекции (чаще в назофарингеальной зоне) и клинического окружения (чаще в стационаре) [18]. По данным Российского многоцентрового исследования ПеГАС–1, на долю штаммов S. pneumoniae, устойчивых к пенициллину, приходится 9% (умеренно резистентные – 7%, высоко резистентные – 2%) [2], однако следует учесть, что резистентность штаммов значительно варьирует в каждом регионе. Устойчивость пневмококка к макролидам в России также невелика, в тоже время очень высока резистентность к тетрациклинам (27%) и ко–тримоксазолу (33%). Факторами риска для развития устойчивости пневмококков к антибиотикам являются: возраст больных более 60 лет и менее 7 лет, наличие сопутствующих заболеваний, предшествующая антибиотикотерапия, пребывание в домах ухода. </w:t>
      </w:r>
    </w:p>
    <w:p w:rsidR="0056443D" w:rsidRPr="00A62419" w:rsidRDefault="0056443D" w:rsidP="0056443D">
      <w:pPr>
        <w:spacing w:before="120"/>
        <w:jc w:val="center"/>
        <w:rPr>
          <w:b/>
          <w:bCs/>
          <w:sz w:val="28"/>
          <w:szCs w:val="28"/>
        </w:rPr>
      </w:pPr>
      <w:r w:rsidRPr="00A62419">
        <w:rPr>
          <w:b/>
          <w:bCs/>
          <w:sz w:val="28"/>
          <w:szCs w:val="28"/>
        </w:rPr>
        <w:t xml:space="preserve">Оценка тяжести и риска летального исхода при внебольничной пневмонии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Объективная оценка тяжести состояния больного является необходимым инструментом для принятия решения о тактике ведения больного, решения вопросов о его транспортировке, об оптимальном месте терапии больного (специализированное отделение, отделение интенсивной терапии и др.), для сравнения исходов больных в зависимости от методов терапии, качества оказания помощи.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Наиболее актуальной проблемой при первичной оценке больного с пневмонией является вопрос о том, где больной должен получать терапию: в домашних условиях (т.е. госпитализация не требуется), в условиях отделения стационара или в условиях реанимационного отделения.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Показания к госпитализации больных с внебольничной пневмонией в стационар и в отделение интенсивной терапии представлены в таблицах 2, 3.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26" type="#_x0000_t75" style="width:238.5pt;height:330pt">
            <v:imagedata r:id="rId5" o:title=""/>
          </v:shape>
        </w:pic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27" type="#_x0000_t75" style="width:246pt;height:206.25pt">
            <v:imagedata r:id="rId6" o:title=""/>
          </v:shape>
        </w:pic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>Более простые алгоритмы также позволяют оценить риска летального исхода при тяжелой внебольничной пневмонии, например, при наличии двух из трех признаков: мочевина крови &gt; 20 мг/дл, частота дыхания і 30 мин</w:t>
      </w:r>
      <w:r w:rsidRPr="00A62419">
        <w:rPr>
          <w:vertAlign w:val="superscript"/>
        </w:rPr>
        <w:t>-1</w:t>
      </w:r>
      <w:r w:rsidRPr="00A62419">
        <w:t xml:space="preserve"> и диастолическое артериальное давление Ј 60 мм рт.ст. (правило Британского торакального общества), риск развития смертельного исхода повышается в 21 раз по сравнению с больными, у которых отсутствуют данные показатели [12].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Причинный фактор также оказывает влияние на прогноз заболевания: летальность больных значительно повышена при обнаружении таких микроорганизмов как: S. pneumoniae, Legionella spp., P. aeruginosa [14] (табл. 4).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28" type="#_x0000_t75" style="width:243pt;height:181.5pt">
            <v:imagedata r:id="rId7" o:title=""/>
          </v:shape>
        </w:pict>
      </w:r>
    </w:p>
    <w:p w:rsidR="0056443D" w:rsidRPr="00A62419" w:rsidRDefault="0056443D" w:rsidP="0056443D">
      <w:pPr>
        <w:spacing w:before="120"/>
        <w:jc w:val="center"/>
        <w:rPr>
          <w:b/>
          <w:bCs/>
          <w:sz w:val="28"/>
          <w:szCs w:val="28"/>
        </w:rPr>
      </w:pPr>
      <w:r w:rsidRPr="00A62419">
        <w:rPr>
          <w:b/>
          <w:bCs/>
          <w:sz w:val="28"/>
          <w:szCs w:val="28"/>
        </w:rPr>
        <w:t xml:space="preserve">Антибактериальная терапия при внебольничной пневмонии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Начальный выбор антимикробного препарата производится эмпирически (т.е. до получения результатов микробиологического исследования), так как: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– как минимум, в половине случаев ответственный микроорганизм не удается выявить даже при помощи современных новейших методов исследования, а существующие микробиологические методы довольно неспецифичны и малочувствительны;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– любая задержка этиотропной терапии пневмоний сопровождается повышенным риском развития осложнений и летальности пневмонии, тогда как своевременная правильно выбранная эмпирическая терапия позволяет улучшить исход заболевания;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– оценка клинической картины, рентгенологических изменений, сопутствующих заболеваний, факторов риска и тяжести пневмонии в большинстве случаев позволяет принять правильное решение о выборе адекватной терапии.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В то же время необходимо стремиться к уточнению этиологического диагноза, особенно у больных с тяжелой пневмонией, так как такой подход может оказать влияние на исход заболевания. Кроме того, преимуществами «направленной» терапии являются уменьшение количества назначаемых препаратов, снижение стоимости лечения, снижение числа побочных эффектов терапии и уменьшение потенциала селекции резистентных штаммов микроорганизмов [8].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Выбор стартовой терапии зависит от тяжести заболевания, места терапии, клинических и эпидемиологических факторов (табл. 5). Основой терапии легкой пневмонии в амбулаторных условиях являются пероральный амоксициллин 1,0 г каждые 8 часов [4], и амоксициллина/клавуланат 1,0 г каждые 12 часов.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29" type="#_x0000_t75" style="width:442.5pt;height:500.25pt">
            <v:imagedata r:id="rId8" o:title=""/>
          </v:shape>
        </w:pic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Амоксициллина клавуланат (Амоксиклав) не только оказывает прямое бактерицидное действие на широкий спектр грамположительных, грамотрицательных, аэробных и анаэробных микроорганизмов, включая устойчивые штаммы. В последнее время получены данные о постантибиотическом эффекте и эффекте потенцирования активности полиморфноядерных лейкоцитов и фагоцитоза, выраженных у Амоксиклава достоверно сильнее, чем у амоксициллина. Причем на его примере был впервые описан эффект: клавулановая кислота существенно продлевает постантибиотическое действие амоксициллина.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Амоксиклав хорошо проникает в различные ткани и жидкости организма, достигая в большинстве случаев адекватных антибактериальных концентраций. Период полувыведения для обоих компонентов составляет в среднем около 1 ч. Основная доля препарата выводится через почки.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По сравнению с другими пенициллиновыми антибиотиками Амоксиклав обладает лучшими фармакокинетическими свойствами, в частности, большей биодоступностью при приеме внутрь, возможностью одновременного приема с пищей, молоком, меньшей степенью связывания белками плазмы и др. Эффективность монотерапии (один антибиотик, один курс) в группе Амоксиклава достоверно выше. Необходимо отметить также более низкую антибактериальную нагрузку в группе Амоксиклава, где курс лечения в среднем требует меньших доз.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Также применение орального антибиотика Амоксиклав позволяет получить существенный экономический эффект. Анализ показал, что основное влияние на стоимость лечения оказывают стоимость лечебно–диагностических процедур, инъекций и общая длительность госпитализации больного. Стоимость антибактериальных препаратов играет далеко не ведущую роль. В то же время использование эффективных антибиотиков, наиболее показанных при данной патологии, способствует более быстрой положительной динамике, сокращает длительность антибиотикотерапии и общую продолжительность лечения, что в конечном итоге дает значительный экономический эффект. Относительно более дорогостоящий антибиотик Амоксиклав по сравнению с традиционными препаратами (пенициллин, линкомицин, ампициллин и др.) в итоге оказался более экономичным.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При подозрении на пневмонию, вызванную атипичными возбудителями, назначаются пероральные макролиды. Альтернативой макролидам могут быть респираторные фторхинолоны (лефофлоксацин, моксифлоксацин).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У госпитализированных больных с нетяжелой пневмонией возможно назначение как парентеральных, так и пероральных препаратов. Показаниями к парентеральной терапии являются: тяжелая пневмония, нарушение сознания, нарушение глотательного рефлекса, функциональные или анатомические причины нарушенного всасывания [9]. При нетяжелой пневмонии возможно использование амоксициллина/клавуланата, ампициллина, парентеральных цефалоспоринов II и III поколений (цефтриаксон, цефуроксим аксетил, цефатаксим), альтернативными препаратами являются внутривенные макролиды (кларитромицин, спирамицин) или респираторные фторхинолоны. При подозрении на аспирационный генез пневмонии назначают амоксициллина/клавуланат или комбинацию b-лактамов с метронидазолом или клиндамицином.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При тяжелой пневмонии в качестве стартовой терапии назначают комбинацию цефалоспоринов III поколения (или амоксициллина/клавуланата) и макролидов. По данным нескольких ретроспективных исследований, такой режим терапии может сопровождаться снижением летальности, что объясняется не только активностью комбинации препаратов к типичным и атипичным микроорганизмам, но и способностью макролидов уменьшать противовоспалительный эффект бактериальных продуктов [19]. Альтернативным режимом является комбинация цефалоспоринов III поколения и фторхинолонов (офлоксацин, ципрофлоксацин). При подозрении на инфекцию Legionella spp. к указанным препаратам добавляют парентеральный рифампицин. При высоком риске инфекции P. aeuruginosa (муковисцидоз, бронхоэктазы), эмпирическая антимикробная терапия должна включать цефалоспорины III поколения с антисинегнойной активностью (цефтазидим, цефипим) или карбапенемы (имипенем, меропенем) в комбинации с ципрофлоксацином или аминогликозидами (табл. 5).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Ответ на антимикробную терапию зависит от иммунной реактивности организма, тяжести заболевания, причинного патогена, протяженности пневмонии по данным рентгенографической картины. Субъективный ответ на антибиотики обычно наблюдают в течение 1–3 суток от начала терапии. Объективный ответ включает оценку лихорадки, других симптомов, лабораторных показателей и рентгенографических изменений. Средняя динамика объективных параметров показана в таблице 6.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30" type="#_x0000_t75" style="width:233.25pt;height:147.75pt">
            <v:imagedata r:id="rId9" o:title=""/>
          </v:shape>
        </w:pic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После получения адекватного ответа на парентеральное введение антимикробных препаратов возможен переход на пероральные препараты. Такой подход определяют как «ступенчатая» терапия, если используется один и тот же антибиотик, или как «последовательная» терапия, если производится замена одного парентерального антибиотика на другой пероральный препарат. Использование ступенчатой или последовательной терапии позволяет значительно уменьшить расходы на лечение и сократить длительность пребывания больных в стационаре. Пероральный антибиотик при последовательной терапии должен обладать высокой биодоступностью. Для ступенчатой терапии чаще используют макролиды, фторхинолоны, амоксициллин/клавуланат, цефуроксим. При последовательной терапии возможен переход от в/в ампициллина на амоксициллин, от в/в цефалоспоринов на амоксициллин/клавуланат или другие пероральные цефалоспорины (цефподоксим, цефиксим).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Критериями перехода от в/в к пероральной терапии являются: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Разрешение лихорадки &gt; 24 часов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>Пульс &lt; 100 мин</w:t>
      </w:r>
      <w:r w:rsidRPr="00A62419">
        <w:rPr>
          <w:vertAlign w:val="superscript"/>
        </w:rPr>
        <w:t>-1</w:t>
      </w:r>
      <w:r w:rsidRPr="00A62419">
        <w:t xml:space="preserve">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>Разрешение тахипное (ЧД &lt; 20 мин</w:t>
      </w:r>
      <w:r w:rsidRPr="00A62419">
        <w:rPr>
          <w:vertAlign w:val="superscript"/>
        </w:rPr>
        <w:t>-1</w:t>
      </w:r>
      <w:r w:rsidRPr="00A62419">
        <w:t xml:space="preserve">)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Хорошая гидратация, способность к приему жидкости per os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Отсутствие гипотензии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Отсутствие гипоксемии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Снижение лейкоцитоза периферической крови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Отсутствие бактериемии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Отсутствие микробиологических данных за инфекции Legionella spp., Staphylococcus aureus и грамотрицательные бактерии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Адекватная абсорбция из желудочно–кишечного тракта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Длительность антимикробной терапии зависит от тяжести заболевания, этиологического фактора, наличия или отсутствия осложнений. Средняя длительность терапии представлена в таблице 7.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31" type="#_x0000_t75" style="width:243.75pt;height:160.5pt">
            <v:imagedata r:id="rId10" o:title=""/>
          </v:shape>
        </w:pic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Терапия осложнений внебольничной пневмонии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Антибактериальные препараты являются основой терапии больных с пневмонией, однако в ситуации ведения больных с тяжелой пневмонией, важнейшее значение играет терапия, направленная на терапию осложнений пневмонии (острая дыхательная недостаточность, септический шок, абсцесс и др.) [1].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>При умеренной гипоксемии (SpO</w:t>
      </w:r>
      <w:r w:rsidRPr="00A62419">
        <w:rPr>
          <w:vertAlign w:val="subscript"/>
        </w:rPr>
        <w:t>2</w:t>
      </w:r>
      <w:r w:rsidRPr="00A62419">
        <w:t xml:space="preserve"> 85–90%), при условии достаточного респираторного усилия больного, сохраненного сознании и быстрой обратной динамики инфекционного процесса, возможна коррекция гипоксемии при помощи простой носовой маски (FiO</w:t>
      </w:r>
      <w:r w:rsidRPr="00A62419">
        <w:rPr>
          <w:vertAlign w:val="subscript"/>
        </w:rPr>
        <w:t>2</w:t>
      </w:r>
      <w:r w:rsidRPr="00A62419">
        <w:t xml:space="preserve"> до 45–50%) или маски с расходным мешком (FiO</w:t>
      </w:r>
      <w:r w:rsidRPr="00A62419">
        <w:rPr>
          <w:vertAlign w:val="subscript"/>
        </w:rPr>
        <w:t>2</w:t>
      </w:r>
      <w:r w:rsidRPr="00A62419">
        <w:t xml:space="preserve"> до 90%). Показания в респираторной поддержке рассматриваются на основании клинической картины с учетом газометрических показателей: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нарушение сознания (сопор, кома);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нестабильная гемодинамика;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признаки дисфункции дыхательной мускулатуры;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>частота дыхания &gt; 35 мин</w:t>
      </w:r>
      <w:r w:rsidRPr="00A62419">
        <w:rPr>
          <w:vertAlign w:val="superscript"/>
        </w:rPr>
        <w:t>-1</w:t>
      </w:r>
      <w:r w:rsidRPr="00A62419">
        <w:t xml:space="preserve">;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рН артериальной крови &lt; 7,3;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>РаО</w:t>
      </w:r>
      <w:r w:rsidRPr="00A62419">
        <w:rPr>
          <w:vertAlign w:val="subscript"/>
        </w:rPr>
        <w:t>2</w:t>
      </w:r>
      <w:r w:rsidRPr="00A62419">
        <w:t>/FiO</w:t>
      </w:r>
      <w:r w:rsidRPr="00A62419">
        <w:rPr>
          <w:vertAlign w:val="subscript"/>
        </w:rPr>
        <w:t>2</w:t>
      </w:r>
      <w:r w:rsidRPr="00A62419">
        <w:t xml:space="preserve">&lt; 250 мм рт.ст.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Альтернативой традиционной респираторной поддержке является неинвазивная вентиляция легких (НВЛ) с помощью лицевых масок, НВЛ позволяет улучшить газообмен у 75% больных и избежать интубации трахеи у 60% больных с тяжелой пневмонией. Применение НВЛ при тяжелой пневмонии обосновано у больных с фоновым заболеванием ХОБЛ, при условии хорошего дренирования дыхательных путей и на ранних этапах развития ОДН [1]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Особую сложность представляет проблема проведения вентиляционного пособия больным с ОДН на фоне унилатерального (несимметричного) поражения легких. Предложено несколько подходов для улучшения оксигенации у больного с односторонней пневмонией: использование фармакологических препаратов (альмитрин, ингаляционный оксид азота NO); периодическое придание больному положения на здоровом боку (decubitus lateralis); раздельная вентиляция легких с учетом разного комплаенса и различной потребности РЕЕР в здоровом и «больном» легком [11].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У больных с тяжелым сепсисом и септическим шоком на первом этапе терапии назначают растворы для восполнения объема циркулирующей жидкости (чаще коллоиды). В ряде случаев введения растворов может быть достаточно для коррекции циркуляторных нарушений, в случае их неэффективности назначают допамин, а затем при неэффективности – вазоконстрикторы (норадреналин, адреналин) и инотропные препараты (добутамин) [22]. При «рефрактерном» септическом шоке, при подозрении на недостаточность надпочечников (больные с предшествующим приемом стероидов) возможно использование низких доз глюкокортикостероидов (гидрокортизон 100 мг 3 раза в сутки в течение 5–10 дней).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Абсцесс легкого определяется, как локализованный участок некроза ткани легких, приводящий к образованию одиночных или множественных полостей размерами более 2 см [10]. Причиной развития большинства абсцессов легких является смешанная флора, причем анаэробная инфекция встречается до 90% случаев, либо как первичный патоген, либо в комбинации с аэробами. Терапия абсцесса легкого слагается из антимикробной терапии и (редко) бронхоскопических и хирургических методов лечения. К основным антибактериальным препаратам, назначаемым при абсцессах легких, относятся: клиндамицин, «защищенные» пенициллины: амоксициллин/клавуланат (Амоксиклав), ампициллин/сульбактам, тикарциллин/клавуланат, клиндамицин. Рекомендуемая длительность антибактериальной терапии больных с абсцессом легких составляет 1–3 месяца.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Дренирование абсцессов часто достигается путем обеспечения хорошей экспекторации мокроты и использования физиотерапевтических процедур (перкуссия, вибрационный массаж), бронхоскопических методов. Хирургическое вмешательство может понадобиться при больших размерах абсцесса (более 6 см) и при осложнениях абсцесса (легочное кровотечение, формирование бронхоплевральной фистулы).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Парапневмонические плевральные выпоты могут значительно различаться по тяжести течения, варьируя от неосложненного выпота до развития эмпиемы плевры. Некоторые формы парапневмонического выпота не требуют специальной терапии, кроме антибактериальной терапии, в то время, как при эмпиеме может потребоваться хирургическое вмешательство. Биохимический анализ плеврального выпота позволяет разграничить три стадии парапневмонического плеврального выпота на основании трех параметров: рН, ЛДГ и глюкозы [16] (табл. 8).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32" type="#_x0000_t75" style="width:240.75pt;height:114.75pt">
            <v:imagedata r:id="rId11" o:title=""/>
          </v:shape>
        </w:pic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Терапия парапневмонического плеврального выпота прежде всего зависит от его стадии и риска неблагоприятного исхода [13] (рис. 1). При неосложненном выпоте показано наблюдение и антимикробная терапия. При осложненном плевральном выпоте показано проведение торакоцентезов при помощи повторных пункций или установка дренажной трубки. При эмпиеме методом выбора является дренирование плевральной полости. При наличии спаечного процесса в плевральной полости и осумкованных полостей адекватное дренирование плевральной полости может быть достигнуто при введении в нее фибринолитиков, которые позволяют растворить фибриновые сгустки и мембраны. Торакоскопия является альтернативным методом фибринолитикам для терапии осумкованных плевральных выпотов [13]. </w:t>
      </w:r>
    </w:p>
    <w:p w:rsidR="0056443D" w:rsidRPr="00A62419" w:rsidRDefault="004459EC" w:rsidP="0056443D">
      <w:pPr>
        <w:spacing w:before="120"/>
        <w:ind w:firstLine="567"/>
        <w:jc w:val="both"/>
      </w:pPr>
      <w:r>
        <w:pict>
          <v:shape id="_x0000_i1033" type="#_x0000_t75" style="width:249pt;height:219.75pt">
            <v:imagedata r:id="rId12" o:title=""/>
          </v:shape>
        </w:pic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>Рис. 1. Алгоритм ведения парапневмоничесих плевральных выпотов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Поддерживающая терапия при внебольничной пневмонии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Больные с пневмонией, госпитализированные в стационар, особенно, в отделения интенсивной терапии, как правило, нуждаются в проведении поддерживающей терапии, которая включает растворы, электролиты, питание, бронхолитики, отхаркивающие препараты. Тяжелым больным, особенно с ОДН, дегидратацией, наличием в анамнезе тромбоэмболий и не имеющим противопоказаний к терапии прямыми антикоагулянтами, для профилактики венозных тромбозов назначают низкие дозы нефракционированного гепарина (п/к 5.000 ед 2–3 р/сут) или, предпочтительнее, низкомолекулярные гепарины (эноксапарин п/к 40 мг/сут) [20]. </w:t>
      </w:r>
    </w:p>
    <w:p w:rsidR="0056443D" w:rsidRPr="00A62419" w:rsidRDefault="0056443D" w:rsidP="0056443D">
      <w:pPr>
        <w:spacing w:before="120"/>
        <w:jc w:val="center"/>
        <w:rPr>
          <w:b/>
          <w:bCs/>
          <w:sz w:val="28"/>
          <w:szCs w:val="28"/>
        </w:rPr>
      </w:pPr>
      <w:r w:rsidRPr="00A62419">
        <w:rPr>
          <w:b/>
          <w:bCs/>
          <w:sz w:val="28"/>
          <w:szCs w:val="28"/>
        </w:rPr>
        <w:t>Список литературы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1. Авдеев СН. Осложнения внебольничной пневмонии. В книге: Пневмония. Под редакцией АГ Чучалина, АИ Синопальникова, НЕ Чернеховской. Москва, Экономика и информатика, 2002: 134–181.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2. Козлов РС, Кречикова ОИ, Сивая ОВ, и кол. Антимикробная резистентность Streptococcus pneumoniae в России: результаты проспективного многоцентрового исследования (фаза А проекта ПеГАС–I). Клин Микробиол Антимикр Химиотер 2002; №3: 267– 277.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3. Навашин СМ, Чучалин АГ, Белоусов ЮБ, и др. Антибактериальная терапия пневмоний у взрослых. Клин Фармакол Терапия 1999; 8(1): 41– 50.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t xml:space="preserve">4. Страчунский ЛС. Антимикробная терапия внебольничной пневмонии в условиях поликлиники. С. 341– 363. В книге: Пневмония. Под редакцией АГ Чучалина, АИ Синопальникова, НЕ Чернеховской. Москва, Экономика и информатика, 2002.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t>5. Чучалин АГ, Синопальников АИ, Яковлев СВ, и др. Внебольничная пневмония у взрослых: практические рекомендации по диагностике, лечению и профилактике. Пособие</w:t>
      </w:r>
      <w:r w:rsidRPr="00A62419">
        <w:rPr>
          <w:lang w:val="en-US"/>
        </w:rPr>
        <w:t xml:space="preserve"> </w:t>
      </w:r>
      <w:r w:rsidRPr="00A62419">
        <w:t>для</w:t>
      </w:r>
      <w:r w:rsidRPr="00A62419">
        <w:rPr>
          <w:lang w:val="en-US"/>
        </w:rPr>
        <w:t xml:space="preserve"> </w:t>
      </w:r>
      <w:r w:rsidRPr="00A62419">
        <w:t>врачей</w:t>
      </w:r>
      <w:r w:rsidRPr="00A62419">
        <w:rPr>
          <w:lang w:val="en-US"/>
        </w:rPr>
        <w:t xml:space="preserve">. </w:t>
      </w:r>
      <w:r w:rsidRPr="00A62419">
        <w:t>Смоленск</w:t>
      </w:r>
      <w:r w:rsidRPr="00A62419">
        <w:rPr>
          <w:lang w:val="en-US"/>
        </w:rPr>
        <w:t xml:space="preserve"> 2003, 53</w:t>
      </w:r>
      <w:r w:rsidRPr="00A62419">
        <w:t>с</w:t>
      </w:r>
      <w:r w:rsidRPr="00A62419">
        <w:rPr>
          <w:lang w:val="en-US"/>
        </w:rPr>
        <w:t xml:space="preserve">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6. American Thoracic Society. Guidelines for the initial management of adults with community–acquired pneumonia: diagnosis, assessment of severity, and initial antimicrobial therapy. Am Rev Respir Dis 1993; 148: 1418– 1426.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7. American Thoracic Society. Guidelines for the management of adults with community–acquired pneumonia. Diagnosis, assessment of severity, antimicrobial therapy, and prevention. Am J Respir Crit Care Med 2001; 163: 1730– 1754.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8. Bartlett JG, Dowell SF, Mandell LA, et al. Pracice guidelines for the management of community–acquired pneumonia in adults. Clin Infect Dis 2000; 31: 347– 382.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9. British Thoracic Society. British Thoracic Society guidelines for the management of community–acquired pneumonia in adults. Thorax 2001; 56(suppl IV): iv1– iv64.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10. Cassire HA, Niederman MS. Aspiration pneumonia, lipoid pneumonia, and lung abscess. In: Pulmonary diseases. Ed: Baum GL, Crapo JD, Celli BR, Karlinsky JB. Lippincot–Raven, Philadelphia, New York, 1998: 645– 655.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11. Dreyfuss D, Djedaini K, Lanore JJ, et al. A comparative study of the effects of almitrine bismesylate and lateral position during unilateral bacterial pneumonia with severe hypoxemia. Am Rev Respir Dis 1992; 146: 295– 299.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12. Farr BM, Sloman AJ, Fisch MJ. Predicting death in patients hospitalized for community acquired pneumonia. Ann Intern Med 1991; 115: 428– 436. </w:t>
      </w:r>
    </w:p>
    <w:p w:rsidR="0056443D" w:rsidRPr="00A62419" w:rsidRDefault="0056443D" w:rsidP="0056443D">
      <w:pPr>
        <w:spacing w:before="120"/>
        <w:ind w:firstLine="567"/>
        <w:jc w:val="both"/>
      </w:pPr>
      <w:r w:rsidRPr="00A62419">
        <w:rPr>
          <w:lang w:val="en-US"/>
        </w:rPr>
        <w:t xml:space="preserve">13. Fein A, Grossman R, Ost D, Farber B, Cassiere H. Daignosis and management of pneumonia and other respiratory infections. </w:t>
      </w:r>
      <w:r w:rsidRPr="00A62419">
        <w:t xml:space="preserve">Professional Communications, Inc., 1999: 288p.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14. Fine MJ, Smith MA, Carson CA, et al. Prognosis and outcome of patients with community–acquired pneumonia: a meta–analysis. JAMA 1996; 275: 134– 141.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15. Halm EA, Fine MJ, Marrie TJ, et al. Time to clinical stability in patients hospitalized with community–acquired pneumonia: implications for practice guidelines. JAMA 1998; 279: 452– 1457.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16. Heffner JE. Infection of the pleural space. Clinics Chest Med 1999; 20: 607– 622.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17. Huchon G, Woodhead M. Management of adult community–acquired lower respiratory tract infections. Eur Respir Rev 1998; 8: 391– 426.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18. Ortqvist A. Treatment of community–acquired lower respiratory tract infections in adults. Eur Respir J 2002; 20(Suppl.36): 40s–53s.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19. Rello J, Catalan M, Diaz E, et al. Associations between empirical antimicrobial therapy at the hospital and mortality in patients with severe community–acquired pneumonia. Intensive Care Med 2002; 28: 1030– 1035.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20. Samama MM, Cohen AT, Darmon J–Y et al., A comparison of enoxaparin with placebo for the treatment of venous thromboembolism in acutely ill medical patients. N Engl J Med 1999; 341: 793– 800.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>21. Sitbon O, Mercat A, Petitretz P. Pneumopathies aigu</w:t>
      </w:r>
      <w:r w:rsidRPr="00A62419">
        <w:t>ё</w:t>
      </w:r>
      <w:r w:rsidRPr="00A62419">
        <w:rPr>
          <w:lang w:val="en-US"/>
        </w:rPr>
        <w:t xml:space="preserve">s infectieuses. Salmeron S, Duroux P, Valeyre D (Ed). Pneumologie. Medecine–Sciences. Flammarion, Paris, 1997: p 232– 247. </w:t>
      </w:r>
    </w:p>
    <w:p w:rsidR="0056443D" w:rsidRPr="00A62419" w:rsidRDefault="0056443D" w:rsidP="0056443D">
      <w:pPr>
        <w:spacing w:before="120"/>
        <w:ind w:firstLine="567"/>
        <w:jc w:val="both"/>
        <w:rPr>
          <w:lang w:val="en-US"/>
        </w:rPr>
      </w:pPr>
      <w:r w:rsidRPr="00A62419">
        <w:rPr>
          <w:lang w:val="en-US"/>
        </w:rPr>
        <w:t xml:space="preserve">22. Wheeler AP, Bernard GR. Treating patients with severe sepsis. N Engl J Med 1999; 340: 207– 214. </w:t>
      </w:r>
    </w:p>
    <w:p w:rsidR="0056443D" w:rsidRDefault="0056443D" w:rsidP="0056443D">
      <w:pPr>
        <w:spacing w:before="120"/>
        <w:ind w:firstLine="567"/>
        <w:jc w:val="both"/>
      </w:pPr>
      <w:r w:rsidRPr="00A62419">
        <w:rPr>
          <w:lang w:val="en-US"/>
        </w:rPr>
        <w:t xml:space="preserve">23. Woodhead M. Community acquired pneumonia in Europe: causative pathogens and resistance patterns. </w:t>
      </w:r>
      <w:r w:rsidRPr="00A62419">
        <w:t xml:space="preserve">Eur Respir J 2002; 20: 20s– 27s.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43D"/>
    <w:rsid w:val="003F3287"/>
    <w:rsid w:val="004459EC"/>
    <w:rsid w:val="0056443D"/>
    <w:rsid w:val="00A62419"/>
    <w:rsid w:val="00BB0DE0"/>
    <w:rsid w:val="00C860FA"/>
    <w:rsid w:val="00F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CFD44CA1-8C59-4580-B53A-55B5BDD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43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15067</Words>
  <Characters>8589</Characters>
  <Application>Microsoft Office Word</Application>
  <DocSecurity>0</DocSecurity>
  <Lines>71</Lines>
  <Paragraphs>47</Paragraphs>
  <ScaleCrop>false</ScaleCrop>
  <Company>Home</Company>
  <LinksUpToDate>false</LinksUpToDate>
  <CharactersWithSpaces>23609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Лечение внебольничной пневмонии</dc:title>
  <dc:subject/>
  <dc:creator>User</dc:creator>
  <cp:keywords/>
  <dc:description/>
  <cp:lastModifiedBy>admin</cp:lastModifiedBy>
  <cp:revision>2</cp:revision>
  <dcterms:created xsi:type="dcterms:W3CDTF">2014-01-25T19:37:00Z</dcterms:created>
  <dcterms:modified xsi:type="dcterms:W3CDTF">2014-01-25T19:37:00Z</dcterms:modified>
</cp:coreProperties>
</file>