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3F" w:rsidRPr="00E84896" w:rsidRDefault="00806C3F" w:rsidP="00806C3F">
      <w:pPr>
        <w:spacing w:before="120"/>
        <w:jc w:val="center"/>
        <w:rPr>
          <w:b/>
          <w:sz w:val="32"/>
        </w:rPr>
      </w:pPr>
      <w:r w:rsidRPr="00E84896">
        <w:rPr>
          <w:b/>
          <w:sz w:val="32"/>
        </w:rPr>
        <w:t>Эффекты структуры субстрата при гидролизе сульфохлоридов анилидов сульфокислот – химических агентов дефеноляции в водно-органических средах</w:t>
      </w:r>
    </w:p>
    <w:p w:rsidR="00806C3F" w:rsidRPr="00E84896" w:rsidRDefault="00806C3F" w:rsidP="00806C3F">
      <w:pPr>
        <w:spacing w:before="120"/>
        <w:jc w:val="center"/>
        <w:rPr>
          <w:sz w:val="28"/>
        </w:rPr>
      </w:pPr>
      <w:r w:rsidRPr="00E84896">
        <w:rPr>
          <w:sz w:val="28"/>
        </w:rPr>
        <w:t xml:space="preserve">Н.А. Языков, Л.И. Рублева, В.Ю. Левандовский </w:t>
      </w:r>
    </w:p>
    <w:p w:rsidR="00806C3F" w:rsidRPr="00E84896" w:rsidRDefault="00806C3F" w:rsidP="00806C3F">
      <w:pPr>
        <w:spacing w:before="120"/>
        <w:jc w:val="center"/>
        <w:rPr>
          <w:sz w:val="28"/>
        </w:rPr>
      </w:pPr>
      <w:r w:rsidRPr="00E84896">
        <w:rPr>
          <w:sz w:val="28"/>
        </w:rPr>
        <w:t xml:space="preserve">Донецкий национальный технический университет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 xml:space="preserve">При обесфеноливании сточных вод коксохимических производств с применением химических методов в качестве основных реагентов используются сульфохлориды [1]. В этих условиях реализуются два процесса: основной – фенолиз (1) и побочный – гидролиз (2) субстратов в водно-органическом растворителе: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ArSO2Cl + РhOH → ArSO2OPh +HCl</w:t>
      </w:r>
      <w:r>
        <w:t xml:space="preserve"> </w:t>
      </w:r>
      <w:r w:rsidRPr="00E84896">
        <w:t>(1)</w:t>
      </w:r>
    </w:p>
    <w:p w:rsidR="00806C3F" w:rsidRDefault="00806C3F" w:rsidP="00806C3F">
      <w:pPr>
        <w:spacing w:before="120"/>
        <w:ind w:firstLine="567"/>
        <w:jc w:val="both"/>
      </w:pPr>
      <w:r w:rsidRPr="00E84896">
        <w:t>ArSO2Cl + H2O → ArSO2OH + HCl</w:t>
      </w:r>
      <w:r>
        <w:t xml:space="preserve"> </w:t>
      </w:r>
      <w:r w:rsidRPr="00E84896">
        <w:t>(2)</w:t>
      </w:r>
    </w:p>
    <w:p w:rsidR="00806C3F" w:rsidRDefault="00806C3F" w:rsidP="00806C3F">
      <w:pPr>
        <w:spacing w:before="120"/>
        <w:ind w:firstLine="567"/>
        <w:jc w:val="both"/>
      </w:pPr>
      <w:r w:rsidRPr="00E84896">
        <w:t>Безусловно</w:t>
      </w:r>
      <w:r>
        <w:t xml:space="preserve">, </w:t>
      </w:r>
      <w:r w:rsidRPr="00E84896">
        <w:t>от степени вероятности протекания процесса (2) зависит глубина и эффективность обесфеноливания</w:t>
      </w:r>
      <w:r>
        <w:t xml:space="preserve">, </w:t>
      </w:r>
      <w:r w:rsidRPr="00E84896">
        <w:t>сама возможность применения этого метода. Усложняющим фактором является повышение растворимости субстрата при увеличении доли органической составляющей стоков</w:t>
      </w:r>
      <w:r>
        <w:t xml:space="preserve">, </w:t>
      </w:r>
      <w:r w:rsidRPr="00E84896">
        <w:t xml:space="preserve">что обеспечивает возрастание скорости обеих реакций не в одинаковой степени. </w:t>
      </w:r>
    </w:p>
    <w:p w:rsidR="00806C3F" w:rsidRDefault="00806C3F" w:rsidP="00806C3F">
      <w:pPr>
        <w:spacing w:before="120"/>
        <w:ind w:firstLine="567"/>
        <w:jc w:val="both"/>
      </w:pPr>
      <w:r w:rsidRPr="00E84896">
        <w:t>С целью определения скорости и механизма гидролиза (2) реагентов обесфеноливания исследована реакционность N-аренсульфонил-N-метиламинобензолсульфохлоридов общей формулы 5-[N(ХArSO2)-NMe]–YArSO2Cl</w:t>
      </w:r>
      <w:r>
        <w:t xml:space="preserve">, </w:t>
      </w:r>
      <w:r w:rsidRPr="00E84896">
        <w:t>где Х= 4-Ме</w:t>
      </w:r>
      <w:r>
        <w:t xml:space="preserve">, </w:t>
      </w:r>
      <w:r w:rsidRPr="00E84896">
        <w:t>Н</w:t>
      </w:r>
      <w:r>
        <w:t xml:space="preserve">, </w:t>
      </w:r>
      <w:r w:rsidRPr="00E84896">
        <w:t>4-Сl</w:t>
      </w:r>
      <w:r>
        <w:t xml:space="preserve">, </w:t>
      </w:r>
      <w:r w:rsidRPr="00E84896">
        <w:t>4-F</w:t>
      </w:r>
      <w:r>
        <w:t xml:space="preserve">, </w:t>
      </w:r>
      <w:r w:rsidRPr="00E84896">
        <w:t xml:space="preserve">3-NO2 </w:t>
      </w:r>
      <w:r>
        <w:t xml:space="preserve">, </w:t>
      </w:r>
      <w:r w:rsidRPr="00E84896">
        <w:t>4-NO2; Y = 2</w:t>
      </w:r>
      <w:r>
        <w:t xml:space="preserve">, </w:t>
      </w:r>
      <w:r w:rsidRPr="00E84896">
        <w:t>4-Ме2</w:t>
      </w:r>
      <w:r>
        <w:t xml:space="preserve">, </w:t>
      </w:r>
      <w:r w:rsidRPr="00E84896">
        <w:t>2</w:t>
      </w:r>
      <w:r>
        <w:t xml:space="preserve">, </w:t>
      </w:r>
      <w:r w:rsidRPr="00E84896">
        <w:t>6-Ме2</w:t>
      </w:r>
      <w:r>
        <w:t xml:space="preserve">, </w:t>
      </w:r>
      <w:r w:rsidRPr="00E84896">
        <w:t>2</w:t>
      </w:r>
      <w:r>
        <w:t xml:space="preserve">, </w:t>
      </w:r>
      <w:r w:rsidRPr="00E84896">
        <w:t>4</w:t>
      </w:r>
      <w:r>
        <w:t xml:space="preserve">, </w:t>
      </w:r>
      <w:r w:rsidRPr="00E84896">
        <w:t>6-Ме3</w:t>
      </w:r>
      <w:r>
        <w:t xml:space="preserve">, </w:t>
      </w:r>
      <w:r w:rsidRPr="00E84896">
        <w:t xml:space="preserve">в среде 70% водного диоксана (в.д.) и интервале температур 303-323К (табл. 1-3 ). Выбор условий эксперимента определялся возможностями проведения аналогии с составом и температурными характеристиками сточных вод коксохимических производств. </w:t>
      </w:r>
    </w:p>
    <w:p w:rsidR="00806C3F" w:rsidRDefault="00806C3F" w:rsidP="00806C3F">
      <w:pPr>
        <w:spacing w:before="120"/>
        <w:ind w:firstLine="567"/>
        <w:jc w:val="both"/>
      </w:pPr>
      <w:r w:rsidRPr="00E84896">
        <w:t>Таблица 1.</w:t>
      </w:r>
      <w:r>
        <w:t xml:space="preserve"> - </w:t>
      </w:r>
      <w:r w:rsidRPr="00E84896">
        <w:t xml:space="preserve">Эффективные константы скорости kaэфф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104 (с-1) и параметры активации ПС для гидролиза 5-[N(ХArSO2)-NMe]–2</w:t>
      </w:r>
      <w:r>
        <w:t xml:space="preserve">, </w:t>
      </w:r>
      <w:r w:rsidRPr="00E84896">
        <w:t xml:space="preserve">4-Me2С6 Н2SO2Cl в 70% в.д. (серия I) </w:t>
      </w:r>
    </w:p>
    <w:tbl>
      <w:tblPr>
        <w:tblW w:w="3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9"/>
        <w:gridCol w:w="768"/>
        <w:gridCol w:w="634"/>
        <w:gridCol w:w="634"/>
        <w:gridCol w:w="1318"/>
        <w:gridCol w:w="1231"/>
        <w:gridCol w:w="1387"/>
      </w:tblGrid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Х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kaэфф </w:t>
            </w:r>
          </w:p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104(с-1)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- Δ H≠</w:t>
            </w:r>
            <w:r>
              <w:t xml:space="preserve">, </w:t>
            </w:r>
          </w:p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кДж/моль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- Δ S≠ </w:t>
            </w:r>
            <w:r>
              <w:t xml:space="preserve">, </w:t>
            </w:r>
          </w:p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кДж/моль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- Δ G313≠ </w:t>
            </w:r>
            <w:r>
              <w:t xml:space="preserve">, </w:t>
            </w:r>
          </w:p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кДж/моль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323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0</w:t>
            </w:r>
            <w:r>
              <w:t xml:space="preserve">, </w:t>
            </w:r>
            <w:r w:rsidRPr="00E84896">
              <w:t xml:space="preserve">603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2</w:t>
            </w:r>
            <w:r>
              <w:t xml:space="preserve">, </w:t>
            </w:r>
            <w:r w:rsidRPr="00E84896"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49</w:t>
            </w:r>
            <w:r>
              <w:t xml:space="preserve">, </w:t>
            </w:r>
            <w:r w:rsidRPr="00E84896">
              <w:t>5 ± 3</w:t>
            </w:r>
            <w:r>
              <w:t xml:space="preserve">, </w:t>
            </w:r>
            <w:r w:rsidRPr="00E84896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186 ±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108 ± 6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4-Me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0</w:t>
            </w:r>
            <w:r>
              <w:t xml:space="preserve">, </w:t>
            </w:r>
            <w:r w:rsidRPr="00E84896">
              <w:t xml:space="preserve">557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2</w:t>
            </w:r>
            <w:r>
              <w:t xml:space="preserve">, </w:t>
            </w:r>
            <w:r w:rsidRPr="00E84896">
              <w:t xml:space="preserve">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50</w:t>
            </w:r>
            <w:r>
              <w:t xml:space="preserve">, </w:t>
            </w:r>
            <w:r w:rsidRPr="00E84896">
              <w:t>4±2</w:t>
            </w:r>
            <w:r>
              <w:t xml:space="preserve">, </w:t>
            </w:r>
            <w:r w:rsidRPr="00E84896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184±1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108±3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4-Cl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0</w:t>
            </w:r>
            <w:r>
              <w:t xml:space="preserve">, </w:t>
            </w:r>
            <w:r w:rsidRPr="00E84896">
              <w:t xml:space="preserve">648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2</w:t>
            </w:r>
            <w:r>
              <w:t xml:space="preserve">, </w:t>
            </w:r>
            <w:r w:rsidRPr="00E84896">
              <w:t xml:space="preserve">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53</w:t>
            </w:r>
            <w:r>
              <w:t xml:space="preserve">, </w:t>
            </w:r>
            <w:r w:rsidRPr="00E84896">
              <w:t>3±2</w:t>
            </w:r>
            <w:r>
              <w:t xml:space="preserve">, </w:t>
            </w:r>
            <w:r w:rsidRPr="00E84896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173±7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107±4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3-NO2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2</w:t>
            </w:r>
            <w:r>
              <w:t xml:space="preserve">, </w:t>
            </w:r>
            <w:r w:rsidRPr="00E84896">
              <w:t xml:space="preserve">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4</w:t>
            </w:r>
            <w:r>
              <w:t xml:space="preserve">, </w:t>
            </w:r>
            <w:r w:rsidRPr="00E84896"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55</w:t>
            </w:r>
            <w:r>
              <w:t xml:space="preserve">, </w:t>
            </w:r>
            <w:r w:rsidRPr="00E84896">
              <w:t>4±1</w:t>
            </w:r>
            <w:r>
              <w:t xml:space="preserve">, </w:t>
            </w:r>
            <w:r w:rsidRPr="00E84896"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162±5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106±3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4-NO2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2</w:t>
            </w:r>
            <w:r>
              <w:t xml:space="preserve">, </w:t>
            </w:r>
            <w:r w:rsidRPr="00E84896"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4</w:t>
            </w:r>
            <w:r>
              <w:t xml:space="preserve">, </w:t>
            </w:r>
            <w:r w:rsidRPr="00E84896"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55</w:t>
            </w:r>
            <w:r>
              <w:t xml:space="preserve">, </w:t>
            </w:r>
            <w:r w:rsidRPr="00E84896">
              <w:t>1±1</w:t>
            </w:r>
            <w:r>
              <w:t xml:space="preserve">, </w:t>
            </w:r>
            <w:r w:rsidRPr="00E84896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163±7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106±6 </w:t>
            </w:r>
          </w:p>
        </w:tc>
      </w:tr>
    </w:tbl>
    <w:p w:rsidR="00806C3F" w:rsidRDefault="00806C3F" w:rsidP="00806C3F">
      <w:pPr>
        <w:spacing w:before="120"/>
        <w:ind w:firstLine="567"/>
        <w:jc w:val="both"/>
      </w:pPr>
      <w:r w:rsidRPr="00E84896">
        <w:t xml:space="preserve">а. Примечание. Погрешность в определении kэфф не превышает 3% </w:t>
      </w:r>
    </w:p>
    <w:p w:rsidR="00806C3F" w:rsidRDefault="00806C3F" w:rsidP="00806C3F">
      <w:pPr>
        <w:spacing w:before="120"/>
        <w:ind w:firstLine="567"/>
        <w:jc w:val="both"/>
      </w:pPr>
      <w:r w:rsidRPr="00E84896">
        <w:t>Таблица 2.</w:t>
      </w:r>
      <w:r>
        <w:t xml:space="preserve"> - </w:t>
      </w:r>
      <w:r w:rsidRPr="00E84896">
        <w:t xml:space="preserve">Эффективные константы скорости kaэфф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104 (с-1) и параметры активации ПС для гидролиза 5-[N(ХArSO2)-NMe]–2</w:t>
      </w:r>
      <w:r>
        <w:t xml:space="preserve">, </w:t>
      </w:r>
      <w:r w:rsidRPr="00E84896">
        <w:t xml:space="preserve">6-Me2С6 Н2SO2Cl в 70% в.д. (серия II) </w:t>
      </w:r>
    </w:p>
    <w:tbl>
      <w:tblPr>
        <w:tblW w:w="3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6"/>
        <w:gridCol w:w="655"/>
        <w:gridCol w:w="655"/>
        <w:gridCol w:w="655"/>
        <w:gridCol w:w="1273"/>
        <w:gridCol w:w="1273"/>
        <w:gridCol w:w="1434"/>
      </w:tblGrid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Х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kaэфф </w:t>
            </w:r>
          </w:p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104(с-1)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- Δ H≠</w:t>
            </w:r>
            <w:r>
              <w:t xml:space="preserve">, </w:t>
            </w:r>
          </w:p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кДж/моль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- Δ S≠ </w:t>
            </w:r>
            <w:r>
              <w:t xml:space="preserve">, </w:t>
            </w:r>
          </w:p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кДж/моль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- Δ G313≠ </w:t>
            </w:r>
            <w:r>
              <w:t xml:space="preserve">, </w:t>
            </w:r>
          </w:p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кДж/моль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323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0</w:t>
            </w:r>
            <w:r>
              <w:t xml:space="preserve">, </w:t>
            </w:r>
            <w:r w:rsidRPr="00E84896"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3</w:t>
            </w:r>
            <w:r>
              <w:t xml:space="preserve">, </w:t>
            </w:r>
            <w:r w:rsidRPr="00E84896"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66</w:t>
            </w:r>
            <w:r>
              <w:t xml:space="preserve">, </w:t>
            </w:r>
            <w:r w:rsidRPr="00E84896">
              <w:t>8±2</w:t>
            </w:r>
            <w:r>
              <w:t xml:space="preserve">, </w:t>
            </w:r>
            <w:r w:rsidRPr="00E84896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128±1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107±3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4-Me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0</w:t>
            </w:r>
            <w:r>
              <w:t xml:space="preserve">, </w:t>
            </w:r>
            <w:r w:rsidRPr="00E84896">
              <w:t xml:space="preserve">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3</w:t>
            </w:r>
            <w:r>
              <w:t xml:space="preserve">, </w:t>
            </w:r>
            <w:r w:rsidRPr="00E84896"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62</w:t>
            </w:r>
            <w:r>
              <w:t xml:space="preserve">, </w:t>
            </w:r>
            <w:r w:rsidRPr="00E84896">
              <w:t>2±0</w:t>
            </w:r>
            <w:r>
              <w:t xml:space="preserve">, </w:t>
            </w:r>
            <w:r w:rsidRPr="00E84896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143±1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107±1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4-Cl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0</w:t>
            </w:r>
            <w:r>
              <w:t xml:space="preserve">, </w:t>
            </w:r>
            <w:r w:rsidRPr="00E84896"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3</w:t>
            </w:r>
            <w:r>
              <w:t xml:space="preserve">, </w:t>
            </w:r>
            <w:r w:rsidRPr="00E84896">
              <w:t xml:space="preserve">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59</w:t>
            </w:r>
            <w:r>
              <w:t xml:space="preserve">, </w:t>
            </w:r>
            <w:r w:rsidRPr="00E84896">
              <w:t>0±0</w:t>
            </w:r>
            <w:r>
              <w:t xml:space="preserve">, </w:t>
            </w:r>
            <w:r w:rsidRPr="00E84896"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152±1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107±1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4-F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0</w:t>
            </w:r>
            <w:r>
              <w:t xml:space="preserve">, </w:t>
            </w:r>
            <w:r w:rsidRPr="00E84896"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3</w:t>
            </w:r>
            <w:r>
              <w:t xml:space="preserve">, </w:t>
            </w:r>
            <w:r w:rsidRPr="00E84896">
              <w:t xml:space="preserve">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65</w:t>
            </w:r>
            <w:r>
              <w:t xml:space="preserve">, </w:t>
            </w:r>
            <w:r w:rsidRPr="00E84896">
              <w:t>1±1</w:t>
            </w:r>
            <w:r>
              <w:t xml:space="preserve">, </w:t>
            </w:r>
            <w:r w:rsidRPr="00E84896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133±4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107±3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3-NO2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0</w:t>
            </w:r>
            <w:r>
              <w:t xml:space="preserve">, </w:t>
            </w:r>
            <w:r w:rsidRPr="00E84896">
              <w:t xml:space="preserve">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1</w:t>
            </w:r>
            <w:r>
              <w:t xml:space="preserve">, </w:t>
            </w:r>
            <w:r w:rsidRPr="00E84896"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4</w:t>
            </w:r>
            <w:r>
              <w:t xml:space="preserve">, </w:t>
            </w:r>
            <w:r w:rsidRPr="00E84896">
              <w:t xml:space="preserve">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61</w:t>
            </w:r>
            <w:r>
              <w:t xml:space="preserve">, </w:t>
            </w:r>
            <w:r w:rsidRPr="00E84896">
              <w:t>4±2</w:t>
            </w:r>
            <w:r>
              <w:t xml:space="preserve">, </w:t>
            </w:r>
            <w:r w:rsidRPr="00E84896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144±5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106±4 </w:t>
            </w:r>
          </w:p>
        </w:tc>
      </w:tr>
    </w:tbl>
    <w:p w:rsidR="00806C3F" w:rsidRDefault="00806C3F" w:rsidP="00806C3F">
      <w:pPr>
        <w:spacing w:before="120"/>
        <w:ind w:firstLine="567"/>
        <w:jc w:val="both"/>
      </w:pPr>
      <w:r>
        <w:t xml:space="preserve"> </w:t>
      </w:r>
      <w:r w:rsidRPr="00E84896">
        <w:t>В сериях I и II варьирование электронных свойств заместителя Х незначительно сказывается на скорости реакции</w:t>
      </w:r>
      <w:r>
        <w:t xml:space="preserve">, </w:t>
      </w:r>
      <w:r w:rsidRPr="00E84896">
        <w:t>наблюдается лишь тенденция к ее возрастанию при увеличении электроноакцепторного характера замещающей группы (табл.1-2). Значительно больший выигрыш в скорости реакции гидролиза вызывает изменение положения и</w:t>
      </w:r>
      <w:r>
        <w:t xml:space="preserve">, </w:t>
      </w:r>
      <w:r w:rsidRPr="00E84896">
        <w:t>особенно</w:t>
      </w:r>
      <w:r>
        <w:t xml:space="preserve">, </w:t>
      </w:r>
      <w:r w:rsidRPr="00E84896">
        <w:t>количества алкильных групп Y в сульфохлоридной части субстрата. Так при переходе от Y=2</w:t>
      </w:r>
      <w:r>
        <w:t xml:space="preserve">, </w:t>
      </w:r>
      <w:r w:rsidRPr="00E84896">
        <w:t>4-Me2 (серия I) к Y=2</w:t>
      </w:r>
      <w:r>
        <w:t xml:space="preserve">, </w:t>
      </w:r>
      <w:r w:rsidRPr="00E84896">
        <w:t>6-Me2 (серия II) отношение kII/kI составляет 1</w:t>
      </w:r>
      <w:r>
        <w:t xml:space="preserve">, </w:t>
      </w:r>
      <w:r w:rsidRPr="00E84896">
        <w:t>1 ÷ 1</w:t>
      </w:r>
      <w:r>
        <w:t xml:space="preserve">, </w:t>
      </w:r>
      <w:r w:rsidRPr="00E84896">
        <w:t xml:space="preserve">7.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Попытка оценить взаимосвязь структура X – реакционная способность субстрата по известному уравнению Гаммета приводит либо к незначимым результатам (серия I</w:t>
      </w:r>
      <w:r>
        <w:t xml:space="preserve">, </w:t>
      </w:r>
      <w:r w:rsidRPr="00E84896">
        <w:t>[2])</w:t>
      </w:r>
      <w:r>
        <w:t xml:space="preserve">, </w:t>
      </w:r>
      <w:r w:rsidRPr="00E84896">
        <w:t>либо к фактическому отсутствию линейной зависимости (серии II</w:t>
      </w:r>
      <w:r>
        <w:t xml:space="preserve">, </w:t>
      </w:r>
      <w:r w:rsidRPr="00E84896">
        <w:t>III). Низкое значение величины ρ=0</w:t>
      </w:r>
      <w:r>
        <w:t xml:space="preserve">, </w:t>
      </w:r>
      <w:r w:rsidRPr="00E84896">
        <w:t>1 ÷ 0</w:t>
      </w:r>
      <w:r>
        <w:t xml:space="preserve">, </w:t>
      </w:r>
      <w:r w:rsidRPr="00E84896">
        <w:t>2 может быть отнесено к удаленности Х</w:t>
      </w:r>
      <w:r>
        <w:t xml:space="preserve">, </w:t>
      </w:r>
      <w:r w:rsidRPr="00E84896">
        <w:t>находящегося в аренсульфонильном фрагменте молекулы</w:t>
      </w:r>
      <w:r>
        <w:t xml:space="preserve">, </w:t>
      </w:r>
      <w:r w:rsidRPr="00E84896">
        <w:t xml:space="preserve">от центра нуклеофильной атаки – атома сульфонильной серы.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В результате вклады энтальпии и энтропии активации ПС в свободную энергию взаимно уравновешивают друг друга</w:t>
      </w:r>
      <w:r>
        <w:t xml:space="preserve">, </w:t>
      </w:r>
      <w:r w:rsidRPr="00E84896">
        <w:t xml:space="preserve">и значение Δ G≠ практически не изменяется при переходе от серии I к серии II.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Из анализа термодинамических параметров ПС следует</w:t>
      </w:r>
      <w:r>
        <w:t xml:space="preserve">, </w:t>
      </w:r>
      <w:r w:rsidRPr="00E84896">
        <w:t>что энтальпия активации не вносит доминирующий вклад в свободную энергию активации. Действительно</w:t>
      </w:r>
      <w:r>
        <w:t xml:space="preserve">, </w:t>
      </w:r>
      <w:r w:rsidRPr="00E84896">
        <w:t>структура заместителя X мало сказывается на скорости реакции</w:t>
      </w:r>
      <w:r>
        <w:t xml:space="preserve">, </w:t>
      </w:r>
      <w:r w:rsidRPr="00E84896">
        <w:t>Y</w:t>
      </w:r>
      <w:r>
        <w:t xml:space="preserve"> - </w:t>
      </w:r>
      <w:r w:rsidRPr="00E84896">
        <w:t>повышает активационный барьер на фоне возрастания реакционности при накоплении алкильных групп в сульфохлоридной части. Это достигается за счёт увеличения вклада Δ S≠</w:t>
      </w:r>
      <w:r>
        <w:t xml:space="preserve">, </w:t>
      </w:r>
      <w:r w:rsidRPr="00E84896">
        <w:t>который для этой реакции является весьма существенным и свидетельствует о более сложной конфигурации активированного комплекса для субстратов I. Изменение Δ S≠ для серий I</w:t>
      </w:r>
      <w:r>
        <w:t xml:space="preserve">, </w:t>
      </w:r>
      <w:r w:rsidRPr="00E84896">
        <w:t>II (табл. 1</w:t>
      </w:r>
      <w:r>
        <w:t xml:space="preserve">, </w:t>
      </w:r>
      <w:r w:rsidRPr="00E84896">
        <w:t xml:space="preserve">2) компенсирует проявление энтальпийного фактора и является возможной причиной ускорения реакции.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Данные расчёта изокинетической температуры (Тизо) для серий I</w:t>
      </w:r>
      <w:r>
        <w:t xml:space="preserve">, </w:t>
      </w:r>
      <w:r w:rsidRPr="00E84896">
        <w:t>II (табл.3) показывают</w:t>
      </w:r>
      <w:r>
        <w:t xml:space="preserve">, </w:t>
      </w:r>
      <w:r w:rsidRPr="00E84896">
        <w:t xml:space="preserve">что рабочая область температур находится выше (I) или в изокинетической зоне (II).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Таблица 3. – Теоретическое значение Тизо для серий I-III</w:t>
      </w:r>
      <w:r>
        <w:t xml:space="preserve">, </w:t>
      </w:r>
      <w:r w:rsidRPr="00E84896">
        <w:t xml:space="preserve">полученное по методу Экснера [5] для гидролиза 5-[N(XArSO2)-NMe]-YArSO2Cl в 70% в.д. </w:t>
      </w:r>
    </w:p>
    <w:tbl>
      <w:tblPr>
        <w:tblW w:w="3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7"/>
        <w:gridCol w:w="1768"/>
        <w:gridCol w:w="1786"/>
      </w:tblGrid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Tизотеор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Tизоэксп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2</w:t>
            </w:r>
            <w:r>
              <w:t xml:space="preserve">, </w:t>
            </w:r>
            <w:r w:rsidRPr="00E84896">
              <w:t xml:space="preserve">4 – Me2 (серия 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292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291 [4]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2</w:t>
            </w:r>
            <w:r>
              <w:t xml:space="preserve">, </w:t>
            </w:r>
            <w:r w:rsidRPr="00E84896">
              <w:t xml:space="preserve">6 – Me2 (серия II)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320 </w:t>
            </w:r>
          </w:p>
        </w:tc>
      </w:tr>
      <w:tr w:rsidR="00806C3F" w:rsidRPr="00E84896" w:rsidTr="00DC434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>2</w:t>
            </w:r>
            <w:r>
              <w:t xml:space="preserve">, </w:t>
            </w:r>
            <w:r w:rsidRPr="00E84896">
              <w:t>4</w:t>
            </w:r>
            <w:r>
              <w:t xml:space="preserve">, </w:t>
            </w:r>
            <w:r w:rsidRPr="00E84896">
              <w:t xml:space="preserve">6 – Me3 (серия II)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296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06C3F" w:rsidRPr="00E84896" w:rsidRDefault="00806C3F" w:rsidP="00DC434D">
            <w:pPr>
              <w:spacing w:before="120"/>
              <w:ind w:firstLine="567"/>
              <w:jc w:val="both"/>
            </w:pPr>
            <w:r w:rsidRPr="00E84896">
              <w:t xml:space="preserve">- </w:t>
            </w:r>
          </w:p>
        </w:tc>
      </w:tr>
    </w:tbl>
    <w:p w:rsidR="00806C3F" w:rsidRPr="00E84896" w:rsidRDefault="00806C3F" w:rsidP="00806C3F">
      <w:pPr>
        <w:spacing w:before="120"/>
        <w:ind w:firstLine="567"/>
        <w:jc w:val="both"/>
      </w:pPr>
      <w:r w:rsidRPr="00E84896">
        <w:t>При гидролизе сульфохлоридов анилидов сульфокислот наблюдается довольно редкое явление – изокинетическая температура находится в реально достижимой области. Низкое значение Тизо указывает на то</w:t>
      </w:r>
      <w:r>
        <w:t xml:space="preserve">, </w:t>
      </w:r>
      <w:r w:rsidRPr="00E84896">
        <w:t>что ПС определяется в основном стерическими факторами</w:t>
      </w:r>
      <w:r>
        <w:t xml:space="preserve">, </w:t>
      </w:r>
      <w:r w:rsidRPr="00E84896">
        <w:t xml:space="preserve">а не электронной природой заместителей X и Y.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Таким образом</w:t>
      </w:r>
      <w:r>
        <w:t xml:space="preserve">, </w:t>
      </w:r>
      <w:r w:rsidRPr="00E84896">
        <w:t>для гидролиза сульфохлоридов анилидов сульфокислот с экранированными сульфониламидными заместителями в интервале температур 20 ÷ 50°С характерно наличие энтропийного контроля со сложной конфигурацией активированного комплекса</w:t>
      </w:r>
      <w:r>
        <w:t xml:space="preserve">, </w:t>
      </w:r>
      <w:r w:rsidRPr="00E84896">
        <w:t>очевидно</w:t>
      </w:r>
      <w:r>
        <w:t xml:space="preserve">, </w:t>
      </w:r>
      <w:r w:rsidRPr="00E84896">
        <w:t xml:space="preserve">более сильно сольватированного по сравнению с исходными веществами. Скорость процесса незначительна в сравнении с конкурирующей реакцией сульфонилирования фенола и не может перекрыть основной поток – эфирообразование. Это позволяет рекомендовать соединения данного ряда для использования в качестве агентов обесфеноливания сточных вод. </w:t>
      </w:r>
    </w:p>
    <w:p w:rsidR="00806C3F" w:rsidRPr="00E84896" w:rsidRDefault="00806C3F" w:rsidP="00806C3F">
      <w:pPr>
        <w:spacing w:before="120"/>
        <w:jc w:val="center"/>
        <w:rPr>
          <w:b/>
          <w:sz w:val="28"/>
        </w:rPr>
      </w:pPr>
      <w:r w:rsidRPr="00E84896">
        <w:rPr>
          <w:b/>
          <w:sz w:val="28"/>
        </w:rPr>
        <w:t xml:space="preserve">Список литературы 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1. Скрыпник Ю.Г.</w:t>
      </w:r>
      <w:r>
        <w:t xml:space="preserve">, </w:t>
      </w:r>
      <w:r w:rsidRPr="00E84896">
        <w:t>Безродный В.П.</w:t>
      </w:r>
      <w:r>
        <w:t xml:space="preserve">, </w:t>
      </w:r>
      <w:r w:rsidRPr="00E84896">
        <w:t>Лящук С.Н. и др .//Материалы международного конгресса «Вода: экология и технология». Том 3. – М.</w:t>
      </w:r>
      <w:r>
        <w:t xml:space="preserve">, </w:t>
      </w:r>
      <w:r w:rsidRPr="00E84896">
        <w:t>1994. – С. 904-912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2. Мысык Д.Д.</w:t>
      </w:r>
      <w:r>
        <w:t xml:space="preserve">, </w:t>
      </w:r>
      <w:r w:rsidRPr="00E84896">
        <w:t>Рублева Л.И.</w:t>
      </w:r>
      <w:r>
        <w:t xml:space="preserve">, </w:t>
      </w:r>
      <w:r w:rsidRPr="00E84896">
        <w:t>Крутько И.Н.</w:t>
      </w:r>
      <w:r>
        <w:t xml:space="preserve">, </w:t>
      </w:r>
      <w:r w:rsidRPr="00E84896">
        <w:t>Левандовский В.Ю. // Вопросы химии и химической технологии.- 2004.</w:t>
      </w:r>
      <w:r>
        <w:t xml:space="preserve"> - </w:t>
      </w:r>
      <w:r w:rsidRPr="00E84896">
        <w:t>№4.</w:t>
      </w:r>
      <w:r>
        <w:t xml:space="preserve"> - </w:t>
      </w:r>
      <w:r w:rsidRPr="00E84896">
        <w:t>С.39-42.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3. Визгерт Р.В.</w:t>
      </w:r>
      <w:r>
        <w:t xml:space="preserve">, </w:t>
      </w:r>
      <w:r w:rsidRPr="00E84896">
        <w:t>Максименко Н.Н.</w:t>
      </w:r>
      <w:r>
        <w:t xml:space="preserve">, </w:t>
      </w:r>
      <w:r w:rsidRPr="00E84896">
        <w:t>Рублева Л.И. // Укр. хим. журнал.- 1993. – т.59</w:t>
      </w:r>
      <w:r>
        <w:t xml:space="preserve">, </w:t>
      </w:r>
      <w:r w:rsidRPr="00E84896">
        <w:t>№11.- С. 1219 – 1230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4. Рублева Л.И.</w:t>
      </w:r>
      <w:r>
        <w:t xml:space="preserve">, </w:t>
      </w:r>
      <w:r w:rsidRPr="00E84896">
        <w:t>Слинкин С.М.</w:t>
      </w:r>
      <w:r>
        <w:t xml:space="preserve">, </w:t>
      </w:r>
      <w:r w:rsidRPr="00E84896">
        <w:t>Крутько И.Н.</w:t>
      </w:r>
      <w:r>
        <w:t xml:space="preserve">, </w:t>
      </w:r>
      <w:r w:rsidRPr="00E84896">
        <w:t>Попова Л.А. // Вопросы химии и хим. технологии. – 2003.</w:t>
      </w:r>
      <w:r>
        <w:t xml:space="preserve"> - </w:t>
      </w:r>
      <w:r w:rsidRPr="00E84896">
        <w:t>№2. – С. 30 – 34</w:t>
      </w:r>
    </w:p>
    <w:p w:rsidR="00806C3F" w:rsidRPr="00E84896" w:rsidRDefault="00806C3F" w:rsidP="00806C3F">
      <w:pPr>
        <w:spacing w:before="120"/>
        <w:ind w:firstLine="567"/>
        <w:jc w:val="both"/>
      </w:pPr>
      <w:r w:rsidRPr="00E84896">
        <w:t>5. Рублева Л.И.</w:t>
      </w:r>
      <w:r>
        <w:t xml:space="preserve">, </w:t>
      </w:r>
      <w:r w:rsidRPr="00E84896">
        <w:t>Максименко Н.Н. // Журнал органической химии. – 2000. – т.36</w:t>
      </w:r>
      <w:r>
        <w:t xml:space="preserve">, </w:t>
      </w:r>
      <w:r w:rsidRPr="00E84896">
        <w:t>вып.9.- С. 1338 – 1340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C3F"/>
    <w:rsid w:val="001A35F6"/>
    <w:rsid w:val="006B1D58"/>
    <w:rsid w:val="00806C3F"/>
    <w:rsid w:val="00811DD4"/>
    <w:rsid w:val="009029D2"/>
    <w:rsid w:val="00916858"/>
    <w:rsid w:val="009B5709"/>
    <w:rsid w:val="00B134F9"/>
    <w:rsid w:val="00DC434D"/>
    <w:rsid w:val="00E84896"/>
    <w:rsid w:val="00E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FCAE9F-55F8-428C-AB05-90E77CCC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6C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Эффекты структуры субстрата при гидролизе сульфохлоридов анилидов сульфокислот – химических агентов дефеноляции в водно-органических средах</vt:lpstr>
    </vt:vector>
  </TitlesOfParts>
  <Company>Home</Company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Эффекты структуры субстрата при гидролизе сульфохлоридов анилидов сульфокислот – химических агентов дефеноляции в водно-органических средах</dc:title>
  <dc:subject/>
  <dc:creator>User</dc:creator>
  <cp:keywords/>
  <dc:description/>
  <cp:lastModifiedBy>admin</cp:lastModifiedBy>
  <cp:revision>2</cp:revision>
  <dcterms:created xsi:type="dcterms:W3CDTF">2014-03-27T11:24:00Z</dcterms:created>
  <dcterms:modified xsi:type="dcterms:W3CDTF">2014-03-27T11:24:00Z</dcterms:modified>
</cp:coreProperties>
</file>