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35" w:rsidRDefault="000A593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Ответственность в международном праве.</w:t>
      </w:r>
    </w:p>
    <w:p w:rsidR="000A5935" w:rsidRDefault="000A593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Понятие, основания в виды ответственности в международном праве (международно-правовой ответственности).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проф.Г.В. Игнатенко, "международно-правовая ответственность – субъекта международного права устранить, ликвидировать вред, причиненный им другому субъекту международного права в результате нарушения международно-правового обязательства, или обязанность возместить ущерб в результате правомерных действий, если это предусмотрено договором"</w:t>
      </w:r>
      <w:r>
        <w:rPr>
          <w:rStyle w:val="a3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Правда, подобное определение не стыкуется с институтом международной уголовной ответственности физических лиц (см. ниже), которая строится по обычной схеме уголовной ответственности, известной национальным законодательства, но в качестве уголовного закона, нарушение которого наказуемо, выступает соответствующий международный договор либо иной источник международного права. 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Основанием международно-правовой ответственности государств является совершение международного правонарушения (см. ниже).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индивидуальной международной уголовной ответственности будет сказано далее.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изложенного выше следует, что существует два основных вида международно-правовой ответственности: классическая международно-правовая ответственность государств (международно-правовая ответственность в собственном смысле этого слова, например, наложение экономических санкций решением Совета Безопасности или исключение из членов ООН); и индивидуальная международная уголовная ответственность (за совершение международных преступлений, наступает по нормам не национального, а международного права), явление довольно новое, но с каждым годом интенсифицирующееся.</w:t>
      </w:r>
    </w:p>
    <w:p w:rsidR="000A5935" w:rsidRDefault="000A593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Международные правонарушения.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Международное правонарушение, являющееся основанием международно-правовой ответственности государств характеризуется двумя основным аспектами: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Юридическая сторона, заключающаяся в противоправном поведении субъекта международного права, то есть нарушении международного обязательства</w:t>
      </w:r>
      <w:r>
        <w:rPr>
          <w:rStyle w:val="a3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 При этом, как подчеркивает Г.В. Игнатенко, "обязательства государств могут вытекать не только из нормативных актов, но и из актов применения права. Такими актами являются, в частности, резолюции Совета Безопасности ООН по вопросам поддержания мира и безопасности, о применении принудительных мер, решения международных судов, арбитражей и трибуналов"</w:t>
      </w:r>
      <w:r>
        <w:rPr>
          <w:rStyle w:val="a3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>, что, кстати говоря, еще раз подчеркивает значение указанных актов как источников международного права. При этом следует отметить, что государство не может ссылаться на положение своего внутреннего права (например, на национальный закон) в качестве оправдания для невыполнения им международного договора</w:t>
      </w:r>
      <w:r>
        <w:rPr>
          <w:rStyle w:val="a3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 xml:space="preserve">. 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Фактическая сторона. Международное правонарушение (с объективной стороны, если применять термины уголовного права) характеризуется каким-либо действием или бездействием. При этом причиняется определенный ущерб защищаемым международным правом правам и интересам определенного субъекта международного права или даже, как указывает Г.В. Игнатенко, "всему международному сообществу"</w:t>
      </w:r>
      <w:r>
        <w:rPr>
          <w:rStyle w:val="a3"/>
          <w:color w:val="000000"/>
          <w:sz w:val="24"/>
          <w:szCs w:val="24"/>
        </w:rPr>
        <w:footnoteReference w:id="5"/>
      </w:r>
      <w:r>
        <w:rPr>
          <w:color w:val="000000"/>
          <w:sz w:val="24"/>
          <w:szCs w:val="24"/>
        </w:rPr>
        <w:t>. По общему правилу, государство несет ответственность за неправомерные деяния любых своих органов. Как подчеркивал проф. Э. Хименес де Аречага, "государство ответственно за свои органы, только за свои органы и за все свои органы"</w:t>
      </w:r>
      <w:r>
        <w:rPr>
          <w:rStyle w:val="a3"/>
          <w:color w:val="000000"/>
          <w:sz w:val="24"/>
          <w:szCs w:val="24"/>
        </w:rPr>
        <w:footnoteReference w:id="6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Обстоятельствами, исключающими неправомерность деяния, по общему правилу являются</w:t>
      </w:r>
      <w:r>
        <w:rPr>
          <w:rStyle w:val="a3"/>
          <w:color w:val="000000"/>
          <w:sz w:val="24"/>
          <w:szCs w:val="24"/>
        </w:rPr>
        <w:footnoteReference w:id="7"/>
      </w:r>
      <w:r>
        <w:rPr>
          <w:color w:val="000000"/>
          <w:sz w:val="24"/>
          <w:szCs w:val="24"/>
        </w:rPr>
        <w:t>: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пострадавшего государства.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Самооборона, в соответствии с Уставом ООН.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Контрмеры в отношении направленного против данного государства международного правонарушения.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Форс-мажор (действие обстоятельств непреодолимой силы).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Крайнее бедствие, когда совершение международного правонарушения было единственным способом спасти жизни людей.</w:t>
      </w:r>
    </w:p>
    <w:p w:rsidR="000A5935" w:rsidRDefault="000A593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Преступления международного характера: понятие и субъекты.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массиве преступлений международного характера следует выделить собственно международные преступления и преступления, борьба с которыми является важной целью большинства государств, а потому соответствующие обязанности государств закреплены многосторонними международными договорами (так называемые "преступления международного характера" или транснациональные преступления).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представляю особую угрозу стабильности международного правопорядка, для наказания лиц, виновных в их совершении в последнее время стали создаваться международные судебные учреждения.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 вторым относятся преступления, борьба с которыми требует координации усилий правоохранительных органов различных государств, но не более того – привлечение лиц, виновных в их совершении, к уголовной ответственности осуществляется только национальными судами.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Классическими примерами транснационального преступления являются незаконный захват воздушного судна</w:t>
      </w:r>
      <w:r>
        <w:rPr>
          <w:rStyle w:val="a3"/>
          <w:color w:val="000000"/>
          <w:sz w:val="24"/>
          <w:szCs w:val="24"/>
        </w:rPr>
        <w:footnoteReference w:id="8"/>
      </w:r>
      <w:r>
        <w:rPr>
          <w:color w:val="000000"/>
          <w:sz w:val="24"/>
          <w:szCs w:val="24"/>
        </w:rPr>
        <w:t xml:space="preserve"> и захват заложников</w:t>
      </w:r>
      <w:r>
        <w:rPr>
          <w:rStyle w:val="a3"/>
          <w:color w:val="000000"/>
          <w:sz w:val="24"/>
          <w:szCs w:val="24"/>
        </w:rPr>
        <w:footnoteReference w:id="9"/>
      </w:r>
      <w:r>
        <w:rPr>
          <w:color w:val="000000"/>
          <w:sz w:val="24"/>
          <w:szCs w:val="24"/>
        </w:rPr>
        <w:t>. Правовое регулирование в этой сфере направлено на действительную реализацию принципа неотвратимости наказания следующими средствами:</w:t>
      </w:r>
    </w:p>
    <w:p w:rsidR="000A5935" w:rsidRDefault="000A593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Унификация определения состава преступления.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Санкционирование применения всех возможных оснований уголовной юрисдикции государства в отношении данного преступления (территориальная, национальная, если граждане данного государства находятся среди потерпевших, если данное государство, его интересы являлись объектом преступного посягательства и любое иное основание юрисдикции), что позволяет говорить об универсальном характере уголовной юрисдикции в отношении подобных преступлений.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Возложение на государство, под контролем которого находится лицо, виновное в совершении транснационального преступления, обязанности "</w:t>
      </w:r>
      <w:r>
        <w:rPr>
          <w:color w:val="000000"/>
          <w:sz w:val="24"/>
          <w:szCs w:val="24"/>
          <w:lang w:val="en-US"/>
        </w:rPr>
        <w:t>aut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dedere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judicare</w:t>
      </w:r>
      <w:r>
        <w:rPr>
          <w:color w:val="000000"/>
          <w:sz w:val="24"/>
          <w:szCs w:val="24"/>
        </w:rPr>
        <w:t>" ("или выдать, или судить").</w:t>
      </w:r>
    </w:p>
    <w:p w:rsidR="000A5935" w:rsidRDefault="000A593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Международная уголовная ответственность физических лиц.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подчеркивает А.Г. Кибальник, "принцип индивидуальной ответственности по международному уголовному праву явился одним из важнейших тезисов Нюрнбергского процесса, сменивших доктрину Бриана-Келлога, в которой речь шла только об ответственности государства за совершение агрессии как международного преступления"</w:t>
      </w:r>
      <w:r>
        <w:rPr>
          <w:rStyle w:val="a3"/>
          <w:color w:val="000000"/>
          <w:sz w:val="24"/>
          <w:szCs w:val="24"/>
        </w:rPr>
        <w:footnoteReference w:id="10"/>
      </w:r>
      <w:r>
        <w:rPr>
          <w:color w:val="000000"/>
          <w:sz w:val="24"/>
          <w:szCs w:val="24"/>
        </w:rPr>
        <w:t xml:space="preserve">. 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Нюрнберга принцип индивидуальной уголовной ответственности был применен в деятельности Международных трибуналов по Руанде и бывшей Югославии, созданных резолюциями Совета Безопасности ООН</w:t>
      </w:r>
      <w:r>
        <w:rPr>
          <w:rStyle w:val="a3"/>
          <w:color w:val="000000"/>
          <w:sz w:val="24"/>
          <w:szCs w:val="24"/>
        </w:rPr>
        <w:footnoteReference w:id="11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индивидуальной ответственности в современном международном уголовном праве закреплен, в частности, в Римском статуте Международного уголовного суда. В соответствии с этим документом, уголовной ответственности подлежат физические лица, достигшие 18-летнего возраста</w:t>
      </w:r>
      <w:r>
        <w:rPr>
          <w:rStyle w:val="a3"/>
          <w:color w:val="000000"/>
          <w:sz w:val="24"/>
          <w:szCs w:val="24"/>
        </w:rPr>
        <w:footnoteReference w:id="12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Логично полагать, что индивид является единственным субъектом международной уголовной ответственности. А.Н. Трайнин справедливо отмечал, что "государство не может быть вменяемо или невменяемо; государство не может быть на скамье подсудимых или за решеткой тюрьмы"</w:t>
      </w:r>
      <w:r>
        <w:rPr>
          <w:rStyle w:val="a3"/>
          <w:color w:val="000000"/>
          <w:sz w:val="24"/>
          <w:szCs w:val="24"/>
        </w:rPr>
        <w:footnoteReference w:id="13"/>
      </w:r>
      <w:r>
        <w:rPr>
          <w:color w:val="000000"/>
          <w:sz w:val="24"/>
          <w:szCs w:val="24"/>
        </w:rPr>
        <w:t>. Составляющая проект Кодекса преступлений против мира и безопасности человечества Комиссия международного права ООН еще в 1984г. решила ограничить проект уголовной ответственностью индивидов</w:t>
      </w:r>
      <w:r>
        <w:rPr>
          <w:rStyle w:val="a3"/>
          <w:color w:val="000000"/>
          <w:sz w:val="24"/>
          <w:szCs w:val="24"/>
        </w:rPr>
        <w:footnoteReference w:id="14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Римскому статуту, предусмотрена международная уголовная ответственность за следующие преступления: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Геноцид</w:t>
      </w:r>
      <w:r>
        <w:rPr>
          <w:rStyle w:val="a3"/>
          <w:color w:val="000000"/>
          <w:sz w:val="24"/>
          <w:szCs w:val="24"/>
        </w:rPr>
        <w:footnoteReference w:id="15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Преступления против человечности</w:t>
      </w:r>
      <w:r>
        <w:rPr>
          <w:rStyle w:val="a3"/>
          <w:color w:val="000000"/>
          <w:sz w:val="24"/>
          <w:szCs w:val="24"/>
        </w:rPr>
        <w:footnoteReference w:id="16"/>
      </w:r>
      <w:r>
        <w:rPr>
          <w:color w:val="000000"/>
          <w:sz w:val="24"/>
          <w:szCs w:val="24"/>
        </w:rPr>
        <w:t>, к которым относятся также общеуголовные преступления как, в частности, убийство и изнасилование, если они совершаются в рамках сознательного широкомасштабного (систематического) нападения на гражданских лиц.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Военные преступления</w:t>
      </w:r>
      <w:r>
        <w:rPr>
          <w:rStyle w:val="a3"/>
          <w:color w:val="000000"/>
          <w:sz w:val="24"/>
          <w:szCs w:val="24"/>
        </w:rPr>
        <w:footnoteReference w:id="17"/>
      </w:r>
      <w:r>
        <w:rPr>
          <w:color w:val="000000"/>
          <w:sz w:val="24"/>
          <w:szCs w:val="24"/>
        </w:rPr>
        <w:t>, к которым относятся прежде всего серьезные нарушения Женевских конвенций 1949г.</w:t>
      </w:r>
      <w:r>
        <w:rPr>
          <w:rStyle w:val="a3"/>
          <w:color w:val="000000"/>
          <w:sz w:val="24"/>
          <w:szCs w:val="24"/>
        </w:rPr>
        <w:footnoteReference w:id="18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Агрессия</w:t>
      </w:r>
      <w:r>
        <w:rPr>
          <w:rStyle w:val="a3"/>
          <w:color w:val="000000"/>
          <w:sz w:val="24"/>
          <w:szCs w:val="24"/>
        </w:rPr>
        <w:footnoteReference w:id="19"/>
      </w:r>
      <w:r>
        <w:rPr>
          <w:color w:val="000000"/>
          <w:sz w:val="24"/>
          <w:szCs w:val="24"/>
        </w:rPr>
        <w:t>. Сейчас данное преступление в Римском статуте не конкретизировано, и поэтому в настоящий момент физические лица не могут привлекаться к международной уголовной ответственности за его совершение.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Надо отметить, что привлечение лица к индивидуальной международной уголовной ответственности не влияет на ответственность государств по международному праву</w:t>
      </w:r>
      <w:r>
        <w:rPr>
          <w:rStyle w:val="a3"/>
          <w:color w:val="000000"/>
          <w:sz w:val="24"/>
          <w:szCs w:val="24"/>
        </w:rPr>
        <w:footnoteReference w:id="20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Уголовное дело в Международном уголовном суде может быть возбуждено и расследовано, если: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Международное преступление совершено на территории государства-участника Римского статута либо гражданином такого государства</w:t>
      </w:r>
      <w:r>
        <w:rPr>
          <w:rStyle w:val="a3"/>
          <w:color w:val="000000"/>
          <w:sz w:val="24"/>
          <w:szCs w:val="24"/>
        </w:rPr>
        <w:footnoteReference w:id="21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 передано прокурору Суда государством-участником, Советом Безопасности либо начато прокурором по собственной инициативе</w:t>
      </w:r>
      <w:r>
        <w:rPr>
          <w:rStyle w:val="a3"/>
          <w:color w:val="000000"/>
          <w:sz w:val="24"/>
          <w:szCs w:val="24"/>
        </w:rPr>
        <w:footnoteReference w:id="22"/>
      </w:r>
      <w:r>
        <w:rPr>
          <w:color w:val="000000"/>
          <w:sz w:val="24"/>
          <w:szCs w:val="24"/>
        </w:rPr>
        <w:t xml:space="preserve">.  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Государство, обладающее юрисдикцией в отношении данного преступления, не желает или не способно вести расследование или возбудить уголовное преследование должным образом</w:t>
      </w:r>
      <w:r>
        <w:rPr>
          <w:rStyle w:val="a3"/>
          <w:color w:val="000000"/>
          <w:sz w:val="24"/>
          <w:szCs w:val="24"/>
        </w:rPr>
        <w:footnoteReference w:id="23"/>
      </w:r>
      <w:r>
        <w:rPr>
          <w:color w:val="000000"/>
          <w:sz w:val="24"/>
          <w:szCs w:val="24"/>
        </w:rPr>
        <w:t xml:space="preserve"> (принцип комплементарности</w:t>
      </w:r>
      <w:r>
        <w:rPr>
          <w:rStyle w:val="a3"/>
          <w:color w:val="000000"/>
          <w:sz w:val="24"/>
          <w:szCs w:val="24"/>
        </w:rPr>
        <w:footnoteReference w:id="24"/>
      </w:r>
      <w:r>
        <w:rPr>
          <w:color w:val="000000"/>
          <w:sz w:val="24"/>
          <w:szCs w:val="24"/>
        </w:rPr>
        <w:t xml:space="preserve">). При этом действует принцип </w:t>
      </w:r>
      <w:r>
        <w:rPr>
          <w:color w:val="000000"/>
          <w:sz w:val="24"/>
          <w:szCs w:val="24"/>
          <w:lang w:val="en-US"/>
        </w:rPr>
        <w:t>ne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bis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idem</w:t>
      </w:r>
      <w:r>
        <w:rPr>
          <w:color w:val="000000"/>
          <w:sz w:val="24"/>
          <w:szCs w:val="24"/>
        </w:rPr>
        <w:t>, то есть запрет повторного осуждения лица за совершение одного и того же международного преступления.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уголовный суд вправе применить к лицу, признанному виновным в совершении преступления, наказание в виде лишения свободы, вплоть до пожизненного</w:t>
      </w:r>
      <w:r>
        <w:rPr>
          <w:rStyle w:val="a3"/>
          <w:color w:val="000000"/>
          <w:sz w:val="24"/>
          <w:szCs w:val="24"/>
        </w:rPr>
        <w:footnoteReference w:id="25"/>
      </w:r>
      <w:r>
        <w:rPr>
          <w:color w:val="000000"/>
          <w:sz w:val="24"/>
          <w:szCs w:val="24"/>
        </w:rPr>
        <w:t>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Практические вопросы, связанные с созданием и функционированием Международного уголовного суда, в частности, соответствия п.2(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) ст.12 Римского статута статье 35 Венской конвенции о праве международных договоров, специфики составов геноцида, включая разные формы соучастия и покушения, и военных преступлений, применения ст.16 Римского статута и пр., находятся в центре внимания игрового дела Международного конкурса по международному праву им. Ф. Джессопа 2003/2004 года.</w:t>
      </w:r>
    </w:p>
    <w:p w:rsidR="000A5935" w:rsidRDefault="000A593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0A5935" w:rsidRDefault="000A593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A5935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935" w:rsidRDefault="000A5935">
      <w:r>
        <w:separator/>
      </w:r>
    </w:p>
  </w:endnote>
  <w:endnote w:type="continuationSeparator" w:id="0">
    <w:p w:rsidR="000A5935" w:rsidRDefault="000A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935" w:rsidRDefault="000A5935">
      <w:r>
        <w:separator/>
      </w:r>
    </w:p>
  </w:footnote>
  <w:footnote w:type="continuationSeparator" w:id="0">
    <w:p w:rsidR="000A5935" w:rsidRDefault="000A5935">
      <w:r>
        <w:continuationSeparator/>
      </w:r>
    </w:p>
  </w:footnote>
  <w:footnote w:id="1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с.177.</w:t>
      </w:r>
    </w:p>
  </w:footnote>
  <w:footnote w:id="2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ст.2, Глава </w:t>
      </w:r>
      <w:r>
        <w:rPr>
          <w:lang w:val="en-US"/>
        </w:rPr>
        <w:t>III</w:t>
      </w:r>
      <w:r>
        <w:t xml:space="preserve"> Проекта статей об ответственности государств за международные правонарушения.</w:t>
      </w:r>
    </w:p>
  </w:footnote>
  <w:footnote w:id="3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с.178.</w:t>
      </w:r>
    </w:p>
  </w:footnote>
  <w:footnote w:id="4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ст.27 Венской конвенции о праве международных договоров.</w:t>
      </w:r>
    </w:p>
  </w:footnote>
  <w:footnote w:id="5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с.182.</w:t>
      </w:r>
    </w:p>
  </w:footnote>
  <w:footnote w:id="6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Хименес де Аречага Э. Современное международное право. сс. 416-417. См.: ст.4 Проекта статей об ответственности государств за международные правонарушения.</w:t>
      </w:r>
    </w:p>
  </w:footnote>
  <w:footnote w:id="7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Глава </w:t>
      </w:r>
      <w:r>
        <w:rPr>
          <w:lang w:val="en-US"/>
        </w:rPr>
        <w:t>V</w:t>
      </w:r>
      <w:r>
        <w:t xml:space="preserve"> Проекта статей об ответственности государств за международные правонарушения.</w:t>
      </w:r>
    </w:p>
  </w:footnote>
  <w:footnote w:id="8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Конвенция о преступлениях и некоторых других актах, совершаемых на борту воздушных судов.</w:t>
      </w:r>
    </w:p>
  </w:footnote>
  <w:footnote w:id="9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Международная конвенция о борьбе с захватом заложников.</w:t>
      </w:r>
    </w:p>
  </w:footnote>
  <w:footnote w:id="10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Кибальник А.Г. Международное уголовное право: понятие, задачи и принципы. СПб., 2003. с.65.</w:t>
      </w:r>
    </w:p>
  </w:footnote>
  <w:footnote w:id="11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См., в частности,: Резолюция Совета Безопасности ООН 827 (1993) от 25 мая 1993 года.</w:t>
      </w:r>
    </w:p>
  </w:footnote>
  <w:footnote w:id="12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ст.ст.25-26 Римского статута.</w:t>
      </w:r>
    </w:p>
  </w:footnote>
  <w:footnote w:id="13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Трайнин А.Н. Защита мира и борьба с преступлениями против человечества. М., 1956. с.42.</w:t>
      </w:r>
    </w:p>
  </w:footnote>
  <w:footnote w:id="14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Кибальник А.Г. Международное уголовное право: понятие, задачи и принципы. СПб, 2003. с.85.</w:t>
      </w:r>
    </w:p>
  </w:footnote>
  <w:footnote w:id="15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ст.6 Римского статута; ст.</w:t>
      </w:r>
      <w:r>
        <w:rPr>
          <w:lang w:val="en-US"/>
        </w:rPr>
        <w:t>II</w:t>
      </w:r>
      <w:r>
        <w:t xml:space="preserve"> Конвенции о предупреждении преступления геноцида и наказании за него.</w:t>
      </w:r>
    </w:p>
  </w:footnote>
  <w:footnote w:id="16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ст.7 Римского статута.</w:t>
      </w:r>
    </w:p>
  </w:footnote>
  <w:footnote w:id="17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ст.8 Римского статута.</w:t>
      </w:r>
    </w:p>
  </w:footnote>
  <w:footnote w:id="18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Женевская конвенция (</w:t>
      </w:r>
      <w:r>
        <w:rPr>
          <w:lang w:val="en-US"/>
        </w:rPr>
        <w:t>I</w:t>
      </w:r>
      <w:r>
        <w:t>) об улучшении участи раненых и больных в действующих армиях; Женевская конвенция (</w:t>
      </w:r>
      <w:r>
        <w:rPr>
          <w:lang w:val="en-US"/>
        </w:rPr>
        <w:t>II</w:t>
      </w:r>
      <w:r>
        <w:t>) об улучшении участи раненых, больных и лиц, потерпевших кораблекрушение, из состава вооруженных сил на море; Женевская конвенция (</w:t>
      </w:r>
      <w:r>
        <w:rPr>
          <w:lang w:val="en-US"/>
        </w:rPr>
        <w:t>III</w:t>
      </w:r>
      <w:r>
        <w:t>) об обращении с военнопленными; Женевская конвенция (</w:t>
      </w:r>
      <w:r>
        <w:rPr>
          <w:lang w:val="en-US"/>
        </w:rPr>
        <w:t>IV</w:t>
      </w:r>
      <w:r>
        <w:t xml:space="preserve">) о защите гражданского населения во время войны; Дополнительный протокол </w:t>
      </w:r>
      <w:r>
        <w:rPr>
          <w:lang w:val="en-US"/>
        </w:rPr>
        <w:t>I</w:t>
      </w:r>
      <w:r>
        <w:t xml:space="preserve"> к Женевским конвенциям, касающийся защиты жертв международных вооруженных конфликтов; Дополнительный протокол </w:t>
      </w:r>
      <w:r>
        <w:rPr>
          <w:lang w:val="en-US"/>
        </w:rPr>
        <w:t>II</w:t>
      </w:r>
      <w:r>
        <w:t xml:space="preserve"> к Женевским конвенциям, касающийся защиты жертв вооруженных конфликтов немеждународного характера.</w:t>
      </w:r>
    </w:p>
  </w:footnote>
  <w:footnote w:id="19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п."</w:t>
      </w:r>
      <w:r>
        <w:rPr>
          <w:lang w:val="en-US"/>
        </w:rPr>
        <w:t>d</w:t>
      </w:r>
      <w:r>
        <w:t>" ч.1 ст.5 Римского статута.</w:t>
      </w:r>
    </w:p>
  </w:footnote>
  <w:footnote w:id="20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п.4 ст.25 Римского статута.</w:t>
      </w:r>
    </w:p>
  </w:footnote>
  <w:footnote w:id="21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п.2 ст.12 Римского статута.</w:t>
      </w:r>
    </w:p>
  </w:footnote>
  <w:footnote w:id="22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ст.13 Римского статута.</w:t>
      </w:r>
    </w:p>
  </w:footnote>
  <w:footnote w:id="23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ст.17 Римского статута.</w:t>
      </w:r>
    </w:p>
  </w:footnote>
  <w:footnote w:id="24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Как подчеркивается в ст.1 Римского статута, Международный уголовный суд лишь дополняет национальные органы уголовной юстиции.</w:t>
      </w:r>
    </w:p>
  </w:footnote>
  <w:footnote w:id="25">
    <w:p w:rsidR="000A5935" w:rsidRDefault="000A5935">
      <w:pPr>
        <w:pStyle w:val="a5"/>
      </w:pPr>
      <w:r>
        <w:rPr>
          <w:rStyle w:val="a3"/>
        </w:rPr>
        <w:footnoteRef/>
      </w:r>
      <w:r>
        <w:t xml:space="preserve"> См.: ст.77 Римского статута.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79B23C1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C082C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A2B20C14"/>
    <w:lvl w:ilvl="0" w:tplc="AD9CB694">
      <w:numFmt w:val="none"/>
      <w:lvlText w:val=""/>
      <w:lvlJc w:val="left"/>
      <w:pPr>
        <w:tabs>
          <w:tab w:val="num" w:pos="360"/>
        </w:tabs>
      </w:pPr>
    </w:lvl>
    <w:lvl w:ilvl="1" w:tplc="EEF260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0810C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48AFD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54691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B28DC7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4AAF6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D42D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6009E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3AC0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975E99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5DB0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0BB6A9A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014278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85F"/>
    <w:rsid w:val="000A5935"/>
    <w:rsid w:val="0022685F"/>
    <w:rsid w:val="007A677C"/>
    <w:rsid w:val="00B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BFAACF-73A9-410E-BB56-141FEAAA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5885</Words>
  <Characters>3355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Ответственность в международном праве</vt:lpstr>
    </vt:vector>
  </TitlesOfParts>
  <Company>PERSONAL COMPUTERS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Ответственность в международном праве</dc:title>
  <dc:subject/>
  <dc:creator>USER</dc:creator>
  <cp:keywords/>
  <dc:description/>
  <cp:lastModifiedBy>admin</cp:lastModifiedBy>
  <cp:revision>2</cp:revision>
  <dcterms:created xsi:type="dcterms:W3CDTF">2014-01-26T07:12:00Z</dcterms:created>
  <dcterms:modified xsi:type="dcterms:W3CDTF">2014-01-26T07:12:00Z</dcterms:modified>
</cp:coreProperties>
</file>