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3AD" w:rsidRDefault="003463AD" w:rsidP="00280C89">
      <w:pPr>
        <w:numPr>
          <w:ilvl w:val="0"/>
          <w:numId w:val="1"/>
        </w:numPr>
        <w:spacing w:line="360" w:lineRule="auto"/>
        <w:jc w:val="both"/>
        <w:rPr>
          <w:rFonts w:ascii="Times New Roman" w:hAnsi="Times New Roman"/>
          <w:sz w:val="28"/>
          <w:szCs w:val="28"/>
        </w:rPr>
      </w:pPr>
    </w:p>
    <w:p w:rsidR="00280C89" w:rsidRDefault="00280C89" w:rsidP="00280C89">
      <w:pPr>
        <w:numPr>
          <w:ilvl w:val="0"/>
          <w:numId w:val="1"/>
        </w:numPr>
        <w:spacing w:line="360" w:lineRule="auto"/>
        <w:jc w:val="both"/>
        <w:rPr>
          <w:rFonts w:ascii="Times New Roman" w:hAnsi="Times New Roman"/>
          <w:sz w:val="28"/>
          <w:szCs w:val="28"/>
        </w:rPr>
      </w:pPr>
      <w:r>
        <w:rPr>
          <w:rFonts w:ascii="Times New Roman" w:hAnsi="Times New Roman"/>
          <w:sz w:val="28"/>
          <w:szCs w:val="28"/>
        </w:rPr>
        <w:t>Порядок получения экспортной выручки за отгруженный товар в иностранной валюте</w:t>
      </w:r>
    </w:p>
    <w:p w:rsidR="00280C89" w:rsidRDefault="00280C89" w:rsidP="0021412C">
      <w:pPr>
        <w:spacing w:line="360" w:lineRule="auto"/>
        <w:ind w:firstLine="567"/>
        <w:jc w:val="both"/>
        <w:rPr>
          <w:rFonts w:ascii="Times New Roman" w:hAnsi="Times New Roman"/>
          <w:sz w:val="28"/>
          <w:szCs w:val="28"/>
        </w:rPr>
      </w:pPr>
    </w:p>
    <w:p w:rsidR="0021412C" w:rsidRDefault="0021412C" w:rsidP="0021412C">
      <w:pPr>
        <w:spacing w:line="360" w:lineRule="auto"/>
        <w:ind w:firstLine="567"/>
        <w:jc w:val="both"/>
        <w:rPr>
          <w:rFonts w:ascii="Times New Roman" w:hAnsi="Times New Roman"/>
          <w:sz w:val="28"/>
          <w:szCs w:val="28"/>
        </w:rPr>
      </w:pPr>
      <w:r w:rsidRPr="00472CE1">
        <w:rPr>
          <w:rFonts w:ascii="Times New Roman" w:hAnsi="Times New Roman"/>
          <w:sz w:val="28"/>
          <w:szCs w:val="28"/>
        </w:rPr>
        <w:t>В соответствии со статьей 39 Федерального закона «Об основах государственного регулирования внешнеторговой деятельности» (Далее – Закон о регулировании внешнеторговой деятельности) внешняя торговля товарами, услугами и интеллектуальной собственностью может ограничиваться мерами валютного регулирования или валютного контроля в соответствии с законодательством Российской Федерации.</w:t>
      </w:r>
    </w:p>
    <w:p w:rsidR="0021412C" w:rsidRDefault="0021412C" w:rsidP="0021412C">
      <w:pPr>
        <w:spacing w:line="360" w:lineRule="auto"/>
        <w:ind w:firstLine="567"/>
        <w:jc w:val="both"/>
        <w:rPr>
          <w:rFonts w:ascii="Times New Roman" w:hAnsi="Times New Roman"/>
          <w:sz w:val="28"/>
          <w:szCs w:val="28"/>
        </w:rPr>
      </w:pPr>
      <w:r w:rsidRPr="00BC36ED">
        <w:rPr>
          <w:rFonts w:ascii="Times New Roman" w:hAnsi="Times New Roman"/>
          <w:i/>
          <w:sz w:val="28"/>
          <w:szCs w:val="28"/>
        </w:rPr>
        <w:t>Основными принципами</w:t>
      </w:r>
      <w:r w:rsidRPr="00472CE1">
        <w:rPr>
          <w:rFonts w:ascii="Times New Roman" w:hAnsi="Times New Roman"/>
          <w:sz w:val="28"/>
          <w:szCs w:val="28"/>
        </w:rPr>
        <w:t xml:space="preserve"> валютного регулирования и валютного контроля согласно статье 3 Федерального закона «О валютном регулировании и валютном контроле» (Далее – Закон о ВР и ВК) в числе прочих являются исключение неоправданного вмешательства государства и его органов в валютные операции резидентов и нерезидентов, а также обеспечение государством защиты прав и экономических интересов резидентов и нерезидентов при о</w:t>
      </w:r>
      <w:r>
        <w:rPr>
          <w:rFonts w:ascii="Times New Roman" w:hAnsi="Times New Roman"/>
          <w:sz w:val="28"/>
          <w:szCs w:val="28"/>
        </w:rPr>
        <w:t>существлении валютных операций.</w:t>
      </w:r>
    </w:p>
    <w:p w:rsidR="0021412C" w:rsidRDefault="0021412C" w:rsidP="0021412C">
      <w:pPr>
        <w:spacing w:line="360" w:lineRule="auto"/>
        <w:ind w:firstLine="567"/>
        <w:jc w:val="both"/>
        <w:rPr>
          <w:rFonts w:ascii="Times New Roman" w:hAnsi="Times New Roman"/>
          <w:b/>
          <w:sz w:val="28"/>
          <w:szCs w:val="28"/>
        </w:rPr>
      </w:pPr>
      <w:r w:rsidRPr="00472CE1">
        <w:rPr>
          <w:rFonts w:ascii="Times New Roman" w:hAnsi="Times New Roman"/>
          <w:sz w:val="28"/>
          <w:szCs w:val="28"/>
        </w:rPr>
        <w:t>Законом о ВР и ВК установлено, что целями валютного регулирования и валютного контроля могут быть только предотвращение существенного сокращения золотовалютных резервов, резких колебаний курса валюты Российской Федерации, а также поддержание устойчивости платежного баланса Российской Федерации.</w:t>
      </w:r>
    </w:p>
    <w:p w:rsidR="0021412C" w:rsidRDefault="0021412C" w:rsidP="0021412C">
      <w:pPr>
        <w:spacing w:line="360" w:lineRule="auto"/>
        <w:ind w:firstLine="567"/>
        <w:jc w:val="both"/>
        <w:rPr>
          <w:rFonts w:ascii="Times New Roman" w:hAnsi="Times New Roman"/>
          <w:b/>
          <w:sz w:val="28"/>
          <w:szCs w:val="28"/>
        </w:rPr>
      </w:pPr>
      <w:r w:rsidRPr="005A10CF">
        <w:rPr>
          <w:rFonts w:ascii="Times New Roman" w:hAnsi="Times New Roman"/>
          <w:sz w:val="28"/>
          <w:szCs w:val="28"/>
        </w:rPr>
        <w:t>Основываясь на перечисленных принципах и в соответствии с целями валютного регулирования, законодательством установлен валютно-правовой режим, который включает в себя систему валютных ограничений, порядок реализации этих ограничений и меры валютного контроля</w:t>
      </w:r>
      <w:r w:rsidRPr="005A10CF">
        <w:rPr>
          <w:rFonts w:ascii="Times New Roman" w:hAnsi="Times New Roman"/>
          <w:b/>
          <w:sz w:val="28"/>
          <w:szCs w:val="28"/>
        </w:rPr>
        <w:t xml:space="preserve">. </w:t>
      </w:r>
      <w:r w:rsidRPr="005A10CF">
        <w:rPr>
          <w:rFonts w:ascii="Times New Roman" w:hAnsi="Times New Roman"/>
          <w:sz w:val="28"/>
          <w:szCs w:val="28"/>
        </w:rPr>
        <w:t xml:space="preserve">Одним из валютных ограничений является </w:t>
      </w:r>
      <w:r w:rsidRPr="005A10CF">
        <w:rPr>
          <w:rFonts w:ascii="Times New Roman" w:hAnsi="Times New Roman"/>
          <w:i/>
          <w:sz w:val="28"/>
          <w:szCs w:val="28"/>
        </w:rPr>
        <w:t>требование о репатриации валютной выручки</w:t>
      </w:r>
      <w:r w:rsidRPr="005A10CF">
        <w:rPr>
          <w:rFonts w:ascii="Times New Roman" w:hAnsi="Times New Roman"/>
          <w:sz w:val="28"/>
          <w:szCs w:val="28"/>
        </w:rPr>
        <w:t>. В соответствии с частью 1 статьи 19 Закона о ВР и ВК при осуществлении внешнеторговой деятельности резиденты, если иное не предусмотрено законом, обязаны в сроки, предусмотренные внешнеторговыми договорами (контрактами), обеспечить:</w:t>
      </w:r>
    </w:p>
    <w:p w:rsidR="0021412C" w:rsidRPr="005A10CF" w:rsidRDefault="0021412C" w:rsidP="0021412C">
      <w:pPr>
        <w:spacing w:after="0" w:line="360" w:lineRule="auto"/>
        <w:jc w:val="both"/>
        <w:rPr>
          <w:rFonts w:ascii="Times New Roman" w:eastAsia="Times New Roman" w:hAnsi="Times New Roman"/>
          <w:sz w:val="28"/>
          <w:szCs w:val="28"/>
          <w:lang w:eastAsia="ru-RU"/>
        </w:rPr>
      </w:pPr>
      <w:r w:rsidRPr="005A10CF">
        <w:rPr>
          <w:rFonts w:ascii="Times New Roman" w:eastAsia="Times New Roman" w:hAnsi="Times New Roman"/>
          <w:sz w:val="28"/>
          <w:szCs w:val="28"/>
          <w:lang w:eastAsia="ru-RU"/>
        </w:rPr>
        <w:t xml:space="preserve">1) </w:t>
      </w:r>
      <w:r w:rsidRPr="005A10CF">
        <w:rPr>
          <w:rFonts w:ascii="Times New Roman" w:eastAsia="Times New Roman" w:hAnsi="Times New Roman"/>
          <w:i/>
          <w:sz w:val="28"/>
          <w:szCs w:val="28"/>
          <w:lang w:eastAsia="ru-RU"/>
        </w:rPr>
        <w:t>получение от нерезидентов на свои банковские счета в уполномоченных банках иностранной валюты или валюты Российской Федерации</w:t>
      </w:r>
      <w:r w:rsidRPr="005A10CF">
        <w:rPr>
          <w:rFonts w:ascii="Times New Roman" w:eastAsia="Times New Roman" w:hAnsi="Times New Roman"/>
          <w:sz w:val="28"/>
          <w:szCs w:val="28"/>
          <w:lang w:eastAsia="ru-RU"/>
        </w:rPr>
        <w:t>,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21412C" w:rsidRPr="005A10CF" w:rsidRDefault="0021412C" w:rsidP="0021412C">
      <w:pPr>
        <w:spacing w:after="0" w:line="360" w:lineRule="auto"/>
        <w:jc w:val="both"/>
        <w:rPr>
          <w:rFonts w:ascii="Times New Roman" w:eastAsia="Times New Roman" w:hAnsi="Times New Roman"/>
          <w:sz w:val="28"/>
          <w:szCs w:val="28"/>
          <w:lang w:eastAsia="ru-RU"/>
        </w:rPr>
      </w:pPr>
      <w:r w:rsidRPr="005A10CF">
        <w:rPr>
          <w:rFonts w:ascii="Times New Roman" w:eastAsia="Times New Roman" w:hAnsi="Times New Roman"/>
          <w:sz w:val="28"/>
          <w:szCs w:val="28"/>
          <w:lang w:eastAsia="ru-RU"/>
        </w:rPr>
        <w:t xml:space="preserve">2) </w:t>
      </w:r>
      <w:r w:rsidRPr="005A10CF">
        <w:rPr>
          <w:rFonts w:ascii="Times New Roman" w:eastAsia="Times New Roman" w:hAnsi="Times New Roman"/>
          <w:i/>
          <w:sz w:val="28"/>
          <w:szCs w:val="28"/>
          <w:lang w:eastAsia="ru-RU"/>
        </w:rPr>
        <w:t>возврат в Российскую Федерацию денежных средств</w:t>
      </w:r>
      <w:r w:rsidRPr="005A10CF">
        <w:rPr>
          <w:rFonts w:ascii="Times New Roman" w:eastAsia="Times New Roman" w:hAnsi="Times New Roman"/>
          <w:sz w:val="28"/>
          <w:szCs w:val="28"/>
          <w:lang w:eastAsia="ru-RU"/>
        </w:rPr>
        <w:t>, уплаченных нерезидентам за неввезенные на таможенную территорию Российской Федерации (неполученные на таможенной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rsidR="0021412C" w:rsidRPr="00036C8A" w:rsidRDefault="0021412C" w:rsidP="0021412C">
      <w:pPr>
        <w:spacing w:line="360" w:lineRule="auto"/>
        <w:ind w:firstLine="567"/>
        <w:jc w:val="both"/>
        <w:rPr>
          <w:rFonts w:ascii="Times New Roman" w:hAnsi="Times New Roman"/>
          <w:b/>
          <w:sz w:val="28"/>
          <w:szCs w:val="28"/>
        </w:rPr>
      </w:pPr>
      <w:r w:rsidRPr="00C02C91">
        <w:rPr>
          <w:rFonts w:ascii="Times New Roman" w:hAnsi="Times New Roman"/>
          <w:sz w:val="28"/>
          <w:szCs w:val="28"/>
        </w:rPr>
        <w:t>Однако, в ряде случаев, предусмотренных</w:t>
      </w:r>
      <w:r w:rsidRPr="00036C8A">
        <w:rPr>
          <w:rFonts w:ascii="Times New Roman" w:hAnsi="Times New Roman"/>
          <w:b/>
          <w:sz w:val="28"/>
          <w:szCs w:val="28"/>
        </w:rPr>
        <w:t xml:space="preserve"> </w:t>
      </w:r>
      <w:r w:rsidRPr="00036C8A">
        <w:rPr>
          <w:rFonts w:ascii="Times New Roman" w:hAnsi="Times New Roman"/>
          <w:sz w:val="28"/>
          <w:szCs w:val="28"/>
        </w:rPr>
        <w:t>частью 2 статьи 19 Закона о ВР и ВК</w:t>
      </w:r>
      <w:r w:rsidRPr="00036C8A">
        <w:rPr>
          <w:rFonts w:ascii="Times New Roman" w:hAnsi="Times New Roman"/>
          <w:b/>
          <w:sz w:val="28"/>
          <w:szCs w:val="28"/>
        </w:rPr>
        <w:t xml:space="preserve">, </w:t>
      </w:r>
      <w:r>
        <w:rPr>
          <w:rFonts w:ascii="Times New Roman" w:hAnsi="Times New Roman"/>
          <w:sz w:val="28"/>
          <w:szCs w:val="28"/>
        </w:rPr>
        <w:t>р</w:t>
      </w:r>
      <w:r w:rsidRPr="00036C8A">
        <w:rPr>
          <w:rFonts w:ascii="Times New Roman" w:hAnsi="Times New Roman"/>
          <w:sz w:val="28"/>
          <w:szCs w:val="28"/>
        </w:rPr>
        <w:t>езиденты вправе не зачислять на свои банковские счета в уполномоченных банках иностранную валюту или валюту Российской Федерации</w:t>
      </w:r>
      <w:r w:rsidRPr="00036C8A">
        <w:rPr>
          <w:rFonts w:ascii="Times New Roman" w:hAnsi="Times New Roman"/>
          <w:b/>
          <w:sz w:val="28"/>
          <w:szCs w:val="28"/>
        </w:rPr>
        <w:t>.</w:t>
      </w:r>
    </w:p>
    <w:p w:rsidR="0021412C" w:rsidRPr="00036C8A" w:rsidRDefault="0021412C" w:rsidP="0021412C">
      <w:pPr>
        <w:spacing w:line="360" w:lineRule="auto"/>
        <w:ind w:firstLine="567"/>
        <w:jc w:val="both"/>
        <w:rPr>
          <w:rFonts w:ascii="Times New Roman" w:hAnsi="Times New Roman"/>
          <w:b/>
          <w:sz w:val="28"/>
          <w:szCs w:val="28"/>
        </w:rPr>
      </w:pPr>
      <w:r w:rsidRPr="00036C8A">
        <w:rPr>
          <w:rFonts w:ascii="Times New Roman" w:hAnsi="Times New Roman"/>
          <w:sz w:val="28"/>
          <w:szCs w:val="28"/>
        </w:rPr>
        <w:t>Статья 20 гласит, что</w:t>
      </w:r>
      <w:r w:rsidRPr="00036C8A">
        <w:rPr>
          <w:rFonts w:ascii="Times New Roman" w:hAnsi="Times New Roman"/>
          <w:b/>
          <w:sz w:val="28"/>
          <w:szCs w:val="28"/>
        </w:rPr>
        <w:t xml:space="preserve"> </w:t>
      </w:r>
      <w:r w:rsidRPr="00036C8A">
        <w:rPr>
          <w:rFonts w:ascii="Times New Roman" w:hAnsi="Times New Roman"/>
          <w:sz w:val="28"/>
          <w:szCs w:val="28"/>
        </w:rPr>
        <w:t xml:space="preserve">Центральный банк Российской Федерации в целях обеспечения учета и отчетности по валютным операциям может устанавливать единые правила оформления резидентами в уполномоченных банках </w:t>
      </w:r>
      <w:r w:rsidRPr="00C02C91">
        <w:rPr>
          <w:rFonts w:ascii="Times New Roman" w:hAnsi="Times New Roman"/>
          <w:i/>
          <w:sz w:val="28"/>
          <w:szCs w:val="28"/>
        </w:rPr>
        <w:t>паспорта сделки</w:t>
      </w:r>
      <w:r w:rsidRPr="00036C8A">
        <w:rPr>
          <w:rFonts w:ascii="Times New Roman" w:hAnsi="Times New Roman"/>
          <w:sz w:val="28"/>
          <w:szCs w:val="28"/>
        </w:rPr>
        <w:t xml:space="preserve"> при осуществлении валютных операций между резидентами и нерезидентами. Паспорт сделки может использоваться органами и агентами валютного контроля для целей осуществления валютного контроля в соответствии с настоящим Федеральным законом.</w:t>
      </w:r>
    </w:p>
    <w:p w:rsidR="00AD0603" w:rsidRPr="00AD0603" w:rsidRDefault="00AD0603" w:rsidP="00AD060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первой частью статьи </w:t>
      </w:r>
      <w:r w:rsidRPr="00AD0603">
        <w:rPr>
          <w:rFonts w:ascii="Times New Roman" w:eastAsia="Times New Roman" w:hAnsi="Times New Roman"/>
          <w:sz w:val="24"/>
          <w:szCs w:val="24"/>
          <w:lang w:eastAsia="ru-RU"/>
        </w:rPr>
        <w:t>19</w:t>
      </w:r>
      <w:r>
        <w:rPr>
          <w:rFonts w:ascii="Times New Roman" w:eastAsia="Times New Roman" w:hAnsi="Times New Roman"/>
          <w:sz w:val="24"/>
          <w:szCs w:val="24"/>
          <w:lang w:eastAsia="ru-RU"/>
        </w:rPr>
        <w:t xml:space="preserve"> закона о ВР и ВК, п</w:t>
      </w:r>
      <w:r w:rsidRPr="00AD0603">
        <w:rPr>
          <w:rFonts w:ascii="Times New Roman" w:eastAsia="Times New Roman" w:hAnsi="Times New Roman"/>
          <w:sz w:val="24"/>
          <w:szCs w:val="24"/>
          <w:lang w:eastAsia="ru-RU"/>
        </w:rPr>
        <w:t>ри осуществлении внешнеторговой деятельности резиденты, обязаны в сроки, предусмотренные внешнеторговыми договорами (контрактами), обеспечить:</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2) возврат в Российскую Федерацию денежных средств, уплаченных нерезидентам за неввезенные на таможенную территорию Российской Федерации (неполученные на таможенной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Часть вторая статьи гласит, что р</w:t>
      </w:r>
      <w:r w:rsidRPr="00AD0603">
        <w:rPr>
          <w:rFonts w:ascii="Times New Roman" w:eastAsia="Times New Roman" w:hAnsi="Times New Roman"/>
          <w:sz w:val="24"/>
          <w:szCs w:val="24"/>
          <w:lang w:eastAsia="ru-RU"/>
        </w:rPr>
        <w:t>езиденты вправе не зачислять на свои банковские счета в уполномоченных банках иностранную валюту или валюту Российской Федерации в следующих случаях:</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1) при зачислении валютной выручки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ОЭСР или ФАТФ на срок свыше двух лет;</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2) при оплате заказчиками (нерезидентами) местных расходов резидентов, связанных с сооружением резидентами объектов на территориях иностранных государств, - на период строительства, по окончании которого оставшиеся средства подлежат переводу на счета резидентов, открытые в уполномоченных банках;</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4) при проведении зачета встречных требований по обязательствам между осуществляющими рыбный промысел за пределами таможенной территории Российской Федерации резидентами и нерезидентами, оказывающими за пределами таможенной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таможенной территории Российской Федерации услуги указанным резидентам по заключенным с ними договорам (соглашениям), а также при проведении зачета встречных требований по обязательствам между транспортными организациями - резидентами и 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членами которых являются такие транспортные организации - резиденты;</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(в ред. Федеральных законов от 18.07.2005 N 90-ФЗ, от 30.12.2006 N 267-ФЗ)</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(см. текст в предыдущей редакции)</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5) 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(п. 5 введен Федеральным законом от 18.07.2005 N 90-ФЗ)</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6) при зачислении валютной выручки на счета транспортных организаций - резидентов в банках за пределами территории Российской Федерации - в целях оплаты возникающих у таких транспортных организаций за пределами территории Российской Федерации расходов, связанных с оплатой аэронавигационных, аэропортовых, портовых сборов и иных обязательных сборов на территориях иностранных государств, расходов, связанных с обслуживанием находящихся за пределами территории Российской Федерации воздушных, речных, морских судов и иных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Российской Федерации филиалов, представительств и иных подразделений таких транспортных организаций.</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(п. 6 введен Федеральным законом от 30.12.2006 N 267-ФЗ)</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 </w:t>
      </w:r>
    </w:p>
    <w:p w:rsidR="00AD0603" w:rsidRPr="00AD0603" w:rsidRDefault="00AD0603" w:rsidP="00AD0603">
      <w:pPr>
        <w:spacing w:after="0" w:line="240" w:lineRule="auto"/>
        <w:rPr>
          <w:rFonts w:ascii="Times New Roman" w:eastAsia="Times New Roman" w:hAnsi="Times New Roman"/>
          <w:sz w:val="24"/>
          <w:szCs w:val="24"/>
          <w:lang w:eastAsia="ru-RU"/>
        </w:rPr>
      </w:pPr>
      <w:r w:rsidRPr="00AD0603">
        <w:rPr>
          <w:rFonts w:ascii="Times New Roman" w:eastAsia="Times New Roman" w:hAnsi="Times New Roman"/>
          <w:sz w:val="24"/>
          <w:szCs w:val="24"/>
          <w:lang w:eastAsia="ru-RU"/>
        </w:rPr>
        <w:t>3. Иностранная валюта, зачисленная в соответствии с пунктами 1 и 3 части 2 настоящей статьи на счета резидентов или третьих лиц в банках за пределами территории Российской Федерации, должна быть использована в целях исполнения резидентами своих обязательств, предусмотренных соответственно пунктами 1 и 3 части 2 настоящей статьи, либо переведена на счета резидентов, открытые в уполномоченных банках.</w:t>
      </w:r>
    </w:p>
    <w:p w:rsidR="0021412C" w:rsidRDefault="0021412C"/>
    <w:p w:rsidR="004140FE" w:rsidRDefault="004140FE"/>
    <w:p w:rsidR="004140FE" w:rsidRDefault="004140FE" w:rsidP="004140FE">
      <w:pPr>
        <w:numPr>
          <w:ilvl w:val="0"/>
          <w:numId w:val="1"/>
        </w:numPr>
      </w:pPr>
      <w:r>
        <w:t>Таможенное оформление экспорта товара и его таможенная очистка</w:t>
      </w:r>
    </w:p>
    <w:p w:rsidR="007F0DAD" w:rsidRDefault="007F0DAD" w:rsidP="007F0DAD">
      <w:pPr>
        <w:pStyle w:val="a4"/>
        <w:ind w:left="567"/>
      </w:pPr>
      <w:r>
        <w:t>Экспортом называется вывоз за границу капитала, товаров или услуг с целью последующей реализации на внешних рынках. К экспорту также можно отнести транспортировку транзитом через другое государство, вывоз товаров для переработки, а также реэкспорт — то есть перевозка привезенных товаров для продажи их в третьей стране.</w:t>
      </w:r>
    </w:p>
    <w:p w:rsidR="007F0DAD" w:rsidRDefault="007F0DAD" w:rsidP="007F0DAD">
      <w:pPr>
        <w:pStyle w:val="a4"/>
        <w:ind w:left="567"/>
      </w:pPr>
      <w:r>
        <w:t>Э</w:t>
      </w:r>
      <w:r>
        <w:rPr>
          <w:rStyle w:val="a5"/>
        </w:rPr>
        <w:t>кспорт</w:t>
      </w:r>
      <w:r>
        <w:t xml:space="preserve"> служит материальной предпосылкой импорта и является результатом международного разделения труда, так как полученная от него выручка служит главным источником средств для оплаты импорта. Сам факт экспорта отмечается в момент предоставления услуги иностранному партнеру или когда продукция пересекает границы страны.</w:t>
      </w:r>
    </w:p>
    <w:p w:rsidR="007F0DAD" w:rsidRDefault="007F0DAD" w:rsidP="007F0DAD">
      <w:pPr>
        <w:pStyle w:val="a4"/>
        <w:ind w:left="567"/>
      </w:pPr>
      <w:r>
        <w:t>Под таможенным оформлением экспорта подразумевается оформление вывозимых за границу товаров и грузов. Это мероприятие включает в себя не только уплату таможенных пошлин, но и ряд других важных моментов.</w:t>
      </w:r>
    </w:p>
    <w:p w:rsidR="007F0DAD" w:rsidRDefault="007F0DAD" w:rsidP="007F0DAD">
      <w:pPr>
        <w:pStyle w:val="a4"/>
        <w:ind w:left="567"/>
      </w:pPr>
      <w:r>
        <w:t xml:space="preserve">К примеру, каждая отдельная категория грузов обязательно должна упаковываться и оформляться так, чтобы соответствовать требованиям безопасности и экономической политике страны. Также вывозимый из страны груз должен при пересечении границы находиться в таком же состоянии, что и во время его декларирования, так что товар, идущий на </w:t>
      </w:r>
      <w:r>
        <w:rPr>
          <w:rStyle w:val="a5"/>
        </w:rPr>
        <w:t>экспорт</w:t>
      </w:r>
      <w:r>
        <w:t>, должен храниться в надлежащих условиях.</w:t>
      </w:r>
    </w:p>
    <w:p w:rsidR="007F0DAD" w:rsidRDefault="007F0DAD" w:rsidP="003B0884">
      <w:pPr>
        <w:pStyle w:val="a4"/>
      </w:pPr>
    </w:p>
    <w:p w:rsidR="007F0DAD" w:rsidRDefault="007F0DAD" w:rsidP="003B0884">
      <w:pPr>
        <w:pStyle w:val="a4"/>
      </w:pPr>
    </w:p>
    <w:p w:rsidR="003B0884" w:rsidRDefault="003B0884" w:rsidP="003B0884">
      <w:pPr>
        <w:pStyle w:val="a4"/>
      </w:pPr>
      <w:r>
        <w:t xml:space="preserve">Обычно контракт при </w:t>
      </w:r>
      <w:r>
        <w:rPr>
          <w:rStyle w:val="a5"/>
        </w:rPr>
        <w:t>таможенном оформлении товаров</w:t>
      </w:r>
      <w:r>
        <w:t xml:space="preserve"> заключается между тремя сторонами: продавцом, покупателем и компанией, которая будет заниматься разгрузкой. Иногда бывает и так, что разгрузка производится самим покупателем, в этом случае договор </w:t>
      </w:r>
      <w:r>
        <w:rPr>
          <w:rStyle w:val="a5"/>
        </w:rPr>
        <w:t>таможенного оформления грузов</w:t>
      </w:r>
      <w:r>
        <w:t xml:space="preserve"> будет заключен только между продавцом и покупателем. При </w:t>
      </w:r>
      <w:r>
        <w:rPr>
          <w:rStyle w:val="a5"/>
        </w:rPr>
        <w:t>таможенном оформлении</w:t>
      </w:r>
      <w:r>
        <w:t xml:space="preserve"> в контракте на поставку указываются реквизиты обеих сторон, также прописываются виды и количество декларируемых товаров. Кроме этого, в контракте </w:t>
      </w:r>
      <w:r>
        <w:rPr>
          <w:rStyle w:val="a5"/>
        </w:rPr>
        <w:t>таможенного оформления</w:t>
      </w:r>
      <w:r>
        <w:t xml:space="preserve"> должна быть прописана стоимость каждого товара, а если она указывается в разных валютах, то еще должен быть приведен курс конверсии. </w:t>
      </w:r>
    </w:p>
    <w:p w:rsidR="003B0884" w:rsidRDefault="003B0884" w:rsidP="003B0884">
      <w:pPr>
        <w:pStyle w:val="a4"/>
      </w:pPr>
      <w:r>
        <w:t xml:space="preserve">Помимо составления счета-фактуры </w:t>
      </w:r>
      <w:r>
        <w:rPr>
          <w:rStyle w:val="a5"/>
        </w:rPr>
        <w:t>порядок таможенного оформления</w:t>
      </w:r>
      <w:r>
        <w:t xml:space="preserve"> предусматривает определение обязанностей и ответственностей каждой из сторон. Этот принцип используется при ввозе-вывозе любых грузов, например, </w:t>
      </w:r>
      <w:r>
        <w:rPr>
          <w:rStyle w:val="a5"/>
        </w:rPr>
        <w:t>при таможенном оформлении транспортных средств</w:t>
      </w:r>
      <w:r>
        <w:t xml:space="preserve">. </w:t>
      </w:r>
    </w:p>
    <w:p w:rsidR="00FE3395" w:rsidRDefault="00FE3395" w:rsidP="00B347C0"/>
    <w:p w:rsidR="00FE3395" w:rsidRDefault="00FE3395" w:rsidP="00B347C0">
      <w:r>
        <w:t>Процедура таможенного оформления товаров и коммерческих грузов представляет собой ряд последовательных и взаимосвязанных между собой действия специалистов таможенного оформления и сотрудников таможни в целях таможенной очистки грузов для введения товаров, поступающих на таможенную территорию страны, в полноценный товарооборот. Процедура таможенного оформления товаров включает в себя доставку грузов из страны отправления по международным транспортным коридорам, временное хранение на СВХ, подачу декларации, непосредственно таможенное оформление, уплату таможенных пошлин и сборов, выпуск товаров для свободного обращения на внутренний рынок.</w:t>
      </w:r>
    </w:p>
    <w:p w:rsidR="00B347C0" w:rsidRDefault="00B347C0" w:rsidP="00B347C0">
      <w:r>
        <w:t>Отличительной особенностью таможенного оформления экспорта является уведомительный характер большинства таможенных процедур при вывозе товара из страны. Кроме того, правительство поощряет экспорт, путем обнуления вывозных ставок таможенных пошлин на большинство товаров. Исключение составляют сырьевые товары, а также продукция, подпадающая под категорию товаров военного и двойного назначения. Налоговым законодательством предусмотрен возврат НДС при таможенном оформлении товаров в режиме экспорта.</w:t>
      </w:r>
    </w:p>
    <w:p w:rsidR="00FE3395" w:rsidRDefault="00FE3395" w:rsidP="00B347C0"/>
    <w:p w:rsidR="00FE3395" w:rsidRDefault="00FE3395" w:rsidP="00B347C0">
      <w:r>
        <w:t>Список компаний предоставляющих услуги по таможенному оформлению, и имеющих в штате специалистов таможенного оформления коммерческих грузов и товаров народного потребления в настоящее время достаточно большой. Федеральная таможенная служба устанавливает ограничения для данной категории работников. Специалисты таможенного оформления обязательно должны иметь высшее образование, регулярно проходить переобучение и сдавать экзамены на знание таможенного дела для получения разрешения на право заниматься таможенным оформлением грузов.</w:t>
      </w:r>
    </w:p>
    <w:p w:rsidR="00AF3012" w:rsidRPr="00AF3012" w:rsidRDefault="00AF3012" w:rsidP="00AF3012">
      <w:pPr>
        <w:spacing w:after="0" w:line="240" w:lineRule="auto"/>
        <w:rPr>
          <w:rFonts w:ascii="Times New Roman" w:eastAsia="Times New Roman" w:hAnsi="Times New Roman"/>
          <w:sz w:val="24"/>
          <w:szCs w:val="24"/>
          <w:lang w:eastAsia="ru-RU"/>
        </w:rPr>
      </w:pPr>
      <w:r w:rsidRPr="00AF3012">
        <w:rPr>
          <w:rFonts w:ascii="Times New Roman" w:eastAsia="Times New Roman" w:hAnsi="Times New Roman"/>
          <w:b/>
          <w:bCs/>
          <w:i/>
          <w:iCs/>
          <w:sz w:val="24"/>
          <w:szCs w:val="24"/>
          <w:lang w:eastAsia="ru-RU"/>
        </w:rPr>
        <w:t>Таможенная очистка</w:t>
      </w:r>
      <w:r w:rsidRPr="00AF3012">
        <w:rPr>
          <w:rFonts w:ascii="Times New Roman" w:eastAsia="Times New Roman" w:hAnsi="Times New Roman"/>
          <w:sz w:val="24"/>
          <w:szCs w:val="24"/>
          <w:lang w:eastAsia="ru-RU"/>
        </w:rPr>
        <w:t xml:space="preserve"> - выполнение необходимых формальностей, возникающих в связи с перемещением через таможенную границу товаров и транспортных средств. </w:t>
      </w:r>
      <w:r w:rsidRPr="00AF3012">
        <w:rPr>
          <w:rFonts w:ascii="Times New Roman" w:eastAsia="Times New Roman" w:hAnsi="Times New Roman"/>
          <w:sz w:val="24"/>
          <w:szCs w:val="24"/>
          <w:lang w:eastAsia="ru-RU"/>
        </w:rPr>
        <w:br/>
      </w:r>
      <w:r w:rsidRPr="00AF3012">
        <w:rPr>
          <w:rFonts w:ascii="Times New Roman" w:eastAsia="Times New Roman" w:hAnsi="Times New Roman"/>
          <w:b/>
          <w:bCs/>
          <w:i/>
          <w:iCs/>
          <w:sz w:val="24"/>
          <w:szCs w:val="24"/>
          <w:lang w:eastAsia="ru-RU"/>
        </w:rPr>
        <w:t>Таможенная очистка</w:t>
      </w:r>
      <w:r w:rsidRPr="00AF3012">
        <w:rPr>
          <w:rFonts w:ascii="Times New Roman" w:eastAsia="Times New Roman" w:hAnsi="Times New Roman"/>
          <w:sz w:val="24"/>
          <w:szCs w:val="24"/>
          <w:lang w:eastAsia="ru-RU"/>
        </w:rPr>
        <w:t xml:space="preserve"> включает: </w:t>
      </w:r>
    </w:p>
    <w:p w:rsidR="00AF3012" w:rsidRPr="00AF3012" w:rsidRDefault="00AF3012" w:rsidP="00AF3012">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AF3012">
        <w:rPr>
          <w:rFonts w:ascii="Times New Roman" w:eastAsia="Times New Roman" w:hAnsi="Times New Roman"/>
          <w:sz w:val="24"/>
          <w:szCs w:val="24"/>
          <w:lang w:eastAsia="ru-RU"/>
        </w:rPr>
        <w:t xml:space="preserve">таможенное оформление; </w:t>
      </w:r>
    </w:p>
    <w:p w:rsidR="00AF3012" w:rsidRPr="00AF3012" w:rsidRDefault="00AF3012" w:rsidP="00AF3012">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AF3012">
        <w:rPr>
          <w:rFonts w:ascii="Times New Roman" w:eastAsia="Times New Roman" w:hAnsi="Times New Roman"/>
          <w:sz w:val="24"/>
          <w:szCs w:val="24"/>
          <w:lang w:eastAsia="ru-RU"/>
        </w:rPr>
        <w:t xml:space="preserve">уплату таможенных платежей. </w:t>
      </w:r>
    </w:p>
    <w:p w:rsidR="004140FE" w:rsidRDefault="00AF3012" w:rsidP="00AF3012">
      <w:r w:rsidRPr="00AF3012">
        <w:rPr>
          <w:rFonts w:ascii="Times New Roman" w:eastAsia="Times New Roman" w:hAnsi="Times New Roman"/>
          <w:b/>
          <w:bCs/>
          <w:i/>
          <w:iCs/>
          <w:sz w:val="24"/>
          <w:szCs w:val="24"/>
          <w:lang w:eastAsia="ru-RU"/>
        </w:rPr>
        <w:t>Таможенная очистка</w:t>
      </w:r>
      <w:r w:rsidRPr="00AF3012">
        <w:rPr>
          <w:rFonts w:ascii="Times New Roman" w:eastAsia="Times New Roman" w:hAnsi="Times New Roman"/>
          <w:sz w:val="24"/>
          <w:szCs w:val="24"/>
          <w:lang w:eastAsia="ru-RU"/>
        </w:rPr>
        <w:t xml:space="preserve"> является необходимым условием пересечения таможенной границы. </w:t>
      </w:r>
      <w:r w:rsidRPr="00AF3012">
        <w:rPr>
          <w:rFonts w:ascii="Times New Roman" w:eastAsia="Times New Roman" w:hAnsi="Times New Roman"/>
          <w:sz w:val="24"/>
          <w:szCs w:val="24"/>
          <w:lang w:eastAsia="ru-RU"/>
        </w:rPr>
        <w:br/>
        <w:t>Очистка от таможенных формальностей - выполнение всех предусмотренных таможенными правилами требований в отношении порядка ввоза и вывоза груза и багажа, а также в отношении порядка захода в порт и выхода в плавание судов, подлежащих таможенному досмотру.</w:t>
      </w:r>
      <w:bookmarkStart w:id="0" w:name="_GoBack"/>
      <w:bookmarkEnd w:id="0"/>
    </w:p>
    <w:sectPr w:rsidR="00414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C2EE9"/>
    <w:multiLevelType w:val="multilevel"/>
    <w:tmpl w:val="C1A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E906F5"/>
    <w:multiLevelType w:val="hybridMultilevel"/>
    <w:tmpl w:val="F710B25A"/>
    <w:lvl w:ilvl="0" w:tplc="C0924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12C"/>
    <w:rsid w:val="000472AD"/>
    <w:rsid w:val="00130D61"/>
    <w:rsid w:val="0021412C"/>
    <w:rsid w:val="00280C89"/>
    <w:rsid w:val="003463AD"/>
    <w:rsid w:val="003B0884"/>
    <w:rsid w:val="004140FE"/>
    <w:rsid w:val="00643221"/>
    <w:rsid w:val="007F0DAD"/>
    <w:rsid w:val="00933401"/>
    <w:rsid w:val="00AD0603"/>
    <w:rsid w:val="00AF3012"/>
    <w:rsid w:val="00B347C0"/>
    <w:rsid w:val="00FE3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ABF74F-B0F2-429D-AC19-CF01A723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12C"/>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F3012"/>
    <w:rPr>
      <w:i/>
      <w:iCs/>
    </w:rPr>
  </w:style>
  <w:style w:type="paragraph" w:styleId="a4">
    <w:name w:val="Normal (Web)"/>
    <w:basedOn w:val="a"/>
    <w:uiPriority w:val="99"/>
    <w:unhideWhenUsed/>
    <w:rsid w:val="003B088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3B0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8200">
      <w:bodyDiv w:val="1"/>
      <w:marLeft w:val="0"/>
      <w:marRight w:val="0"/>
      <w:marTop w:val="0"/>
      <w:marBottom w:val="0"/>
      <w:divBdr>
        <w:top w:val="none" w:sz="0" w:space="0" w:color="auto"/>
        <w:left w:val="none" w:sz="0" w:space="0" w:color="auto"/>
        <w:bottom w:val="none" w:sz="0" w:space="0" w:color="auto"/>
        <w:right w:val="none" w:sz="0" w:space="0" w:color="auto"/>
      </w:divBdr>
      <w:divsChild>
        <w:div w:id="167255761">
          <w:marLeft w:val="0"/>
          <w:marRight w:val="0"/>
          <w:marTop w:val="0"/>
          <w:marBottom w:val="0"/>
          <w:divBdr>
            <w:top w:val="none" w:sz="0" w:space="0" w:color="auto"/>
            <w:left w:val="none" w:sz="0" w:space="0" w:color="auto"/>
            <w:bottom w:val="none" w:sz="0" w:space="0" w:color="auto"/>
            <w:right w:val="none" w:sz="0" w:space="0" w:color="auto"/>
          </w:divBdr>
          <w:divsChild>
            <w:div w:id="16320362">
              <w:marLeft w:val="0"/>
              <w:marRight w:val="0"/>
              <w:marTop w:val="100"/>
              <w:marBottom w:val="0"/>
              <w:divBdr>
                <w:top w:val="none" w:sz="0" w:space="0" w:color="auto"/>
                <w:left w:val="none" w:sz="0" w:space="0" w:color="auto"/>
                <w:bottom w:val="none" w:sz="0" w:space="0" w:color="auto"/>
                <w:right w:val="none" w:sz="0" w:space="0" w:color="auto"/>
              </w:divBdr>
            </w:div>
          </w:divsChild>
        </w:div>
        <w:div w:id="222984322">
          <w:marLeft w:val="0"/>
          <w:marRight w:val="0"/>
          <w:marTop w:val="0"/>
          <w:marBottom w:val="0"/>
          <w:divBdr>
            <w:top w:val="none" w:sz="0" w:space="0" w:color="auto"/>
            <w:left w:val="none" w:sz="0" w:space="0" w:color="auto"/>
            <w:bottom w:val="none" w:sz="0" w:space="0" w:color="auto"/>
            <w:right w:val="none" w:sz="0" w:space="0" w:color="auto"/>
          </w:divBdr>
          <w:divsChild>
            <w:div w:id="370493515">
              <w:marLeft w:val="0"/>
              <w:marRight w:val="0"/>
              <w:marTop w:val="100"/>
              <w:marBottom w:val="0"/>
              <w:divBdr>
                <w:top w:val="none" w:sz="0" w:space="0" w:color="auto"/>
                <w:left w:val="none" w:sz="0" w:space="0" w:color="auto"/>
                <w:bottom w:val="none" w:sz="0" w:space="0" w:color="auto"/>
                <w:right w:val="none" w:sz="0" w:space="0" w:color="auto"/>
              </w:divBdr>
            </w:div>
          </w:divsChild>
        </w:div>
        <w:div w:id="242958885">
          <w:marLeft w:val="0"/>
          <w:marRight w:val="0"/>
          <w:marTop w:val="0"/>
          <w:marBottom w:val="0"/>
          <w:divBdr>
            <w:top w:val="none" w:sz="0" w:space="0" w:color="auto"/>
            <w:left w:val="none" w:sz="0" w:space="0" w:color="auto"/>
            <w:bottom w:val="none" w:sz="0" w:space="0" w:color="auto"/>
            <w:right w:val="none" w:sz="0" w:space="0" w:color="auto"/>
          </w:divBdr>
        </w:div>
        <w:div w:id="697779738">
          <w:marLeft w:val="0"/>
          <w:marRight w:val="0"/>
          <w:marTop w:val="0"/>
          <w:marBottom w:val="0"/>
          <w:divBdr>
            <w:top w:val="none" w:sz="0" w:space="0" w:color="auto"/>
            <w:left w:val="none" w:sz="0" w:space="0" w:color="auto"/>
            <w:bottom w:val="none" w:sz="0" w:space="0" w:color="auto"/>
            <w:right w:val="none" w:sz="0" w:space="0" w:color="auto"/>
          </w:divBdr>
          <w:divsChild>
            <w:div w:id="1243098390">
              <w:marLeft w:val="0"/>
              <w:marRight w:val="0"/>
              <w:marTop w:val="100"/>
              <w:marBottom w:val="0"/>
              <w:divBdr>
                <w:top w:val="none" w:sz="0" w:space="0" w:color="auto"/>
                <w:left w:val="none" w:sz="0" w:space="0" w:color="auto"/>
                <w:bottom w:val="none" w:sz="0" w:space="0" w:color="auto"/>
                <w:right w:val="none" w:sz="0" w:space="0" w:color="auto"/>
              </w:divBdr>
            </w:div>
          </w:divsChild>
        </w:div>
        <w:div w:id="754977422">
          <w:marLeft w:val="0"/>
          <w:marRight w:val="0"/>
          <w:marTop w:val="0"/>
          <w:marBottom w:val="0"/>
          <w:divBdr>
            <w:top w:val="none" w:sz="0" w:space="0" w:color="auto"/>
            <w:left w:val="none" w:sz="0" w:space="0" w:color="auto"/>
            <w:bottom w:val="none" w:sz="0" w:space="0" w:color="auto"/>
            <w:right w:val="none" w:sz="0" w:space="0" w:color="auto"/>
          </w:divBdr>
        </w:div>
        <w:div w:id="864366083">
          <w:marLeft w:val="0"/>
          <w:marRight w:val="0"/>
          <w:marTop w:val="0"/>
          <w:marBottom w:val="0"/>
          <w:divBdr>
            <w:top w:val="none" w:sz="0" w:space="0" w:color="auto"/>
            <w:left w:val="none" w:sz="0" w:space="0" w:color="auto"/>
            <w:bottom w:val="none" w:sz="0" w:space="0" w:color="auto"/>
            <w:right w:val="none" w:sz="0" w:space="0" w:color="auto"/>
          </w:divBdr>
          <w:divsChild>
            <w:div w:id="462236076">
              <w:marLeft w:val="0"/>
              <w:marRight w:val="0"/>
              <w:marTop w:val="100"/>
              <w:marBottom w:val="0"/>
              <w:divBdr>
                <w:top w:val="none" w:sz="0" w:space="0" w:color="auto"/>
                <w:left w:val="none" w:sz="0" w:space="0" w:color="auto"/>
                <w:bottom w:val="none" w:sz="0" w:space="0" w:color="auto"/>
                <w:right w:val="none" w:sz="0" w:space="0" w:color="auto"/>
              </w:divBdr>
            </w:div>
          </w:divsChild>
        </w:div>
        <w:div w:id="956133561">
          <w:marLeft w:val="0"/>
          <w:marRight w:val="0"/>
          <w:marTop w:val="0"/>
          <w:marBottom w:val="0"/>
          <w:divBdr>
            <w:top w:val="none" w:sz="0" w:space="0" w:color="auto"/>
            <w:left w:val="none" w:sz="0" w:space="0" w:color="auto"/>
            <w:bottom w:val="none" w:sz="0" w:space="0" w:color="auto"/>
            <w:right w:val="none" w:sz="0" w:space="0" w:color="auto"/>
          </w:divBdr>
        </w:div>
        <w:div w:id="984554414">
          <w:marLeft w:val="0"/>
          <w:marRight w:val="0"/>
          <w:marTop w:val="0"/>
          <w:marBottom w:val="0"/>
          <w:divBdr>
            <w:top w:val="none" w:sz="0" w:space="0" w:color="auto"/>
            <w:left w:val="none" w:sz="0" w:space="0" w:color="auto"/>
            <w:bottom w:val="none" w:sz="0" w:space="0" w:color="auto"/>
            <w:right w:val="none" w:sz="0" w:space="0" w:color="auto"/>
          </w:divBdr>
        </w:div>
        <w:div w:id="1081834574">
          <w:marLeft w:val="0"/>
          <w:marRight w:val="0"/>
          <w:marTop w:val="0"/>
          <w:marBottom w:val="0"/>
          <w:divBdr>
            <w:top w:val="none" w:sz="0" w:space="0" w:color="auto"/>
            <w:left w:val="none" w:sz="0" w:space="0" w:color="auto"/>
            <w:bottom w:val="none" w:sz="0" w:space="0" w:color="auto"/>
            <w:right w:val="none" w:sz="0" w:space="0" w:color="auto"/>
          </w:divBdr>
          <w:divsChild>
            <w:div w:id="1944726566">
              <w:marLeft w:val="0"/>
              <w:marRight w:val="0"/>
              <w:marTop w:val="100"/>
              <w:marBottom w:val="0"/>
              <w:divBdr>
                <w:top w:val="none" w:sz="0" w:space="0" w:color="auto"/>
                <w:left w:val="none" w:sz="0" w:space="0" w:color="auto"/>
                <w:bottom w:val="none" w:sz="0" w:space="0" w:color="auto"/>
                <w:right w:val="none" w:sz="0" w:space="0" w:color="auto"/>
              </w:divBdr>
            </w:div>
          </w:divsChild>
        </w:div>
        <w:div w:id="1174951624">
          <w:marLeft w:val="0"/>
          <w:marRight w:val="0"/>
          <w:marTop w:val="0"/>
          <w:marBottom w:val="0"/>
          <w:divBdr>
            <w:top w:val="none" w:sz="0" w:space="0" w:color="auto"/>
            <w:left w:val="none" w:sz="0" w:space="0" w:color="auto"/>
            <w:bottom w:val="none" w:sz="0" w:space="0" w:color="auto"/>
            <w:right w:val="none" w:sz="0" w:space="0" w:color="auto"/>
          </w:divBdr>
        </w:div>
        <w:div w:id="1269973677">
          <w:marLeft w:val="0"/>
          <w:marRight w:val="0"/>
          <w:marTop w:val="0"/>
          <w:marBottom w:val="0"/>
          <w:divBdr>
            <w:top w:val="none" w:sz="0" w:space="0" w:color="auto"/>
            <w:left w:val="none" w:sz="0" w:space="0" w:color="auto"/>
            <w:bottom w:val="none" w:sz="0" w:space="0" w:color="auto"/>
            <w:right w:val="none" w:sz="0" w:space="0" w:color="auto"/>
          </w:divBdr>
          <w:divsChild>
            <w:div w:id="1544294039">
              <w:marLeft w:val="0"/>
              <w:marRight w:val="0"/>
              <w:marTop w:val="100"/>
              <w:marBottom w:val="0"/>
              <w:divBdr>
                <w:top w:val="none" w:sz="0" w:space="0" w:color="auto"/>
                <w:left w:val="none" w:sz="0" w:space="0" w:color="auto"/>
                <w:bottom w:val="none" w:sz="0" w:space="0" w:color="auto"/>
                <w:right w:val="none" w:sz="0" w:space="0" w:color="auto"/>
              </w:divBdr>
            </w:div>
          </w:divsChild>
        </w:div>
        <w:div w:id="1303346177">
          <w:marLeft w:val="0"/>
          <w:marRight w:val="0"/>
          <w:marTop w:val="0"/>
          <w:marBottom w:val="0"/>
          <w:divBdr>
            <w:top w:val="none" w:sz="0" w:space="0" w:color="auto"/>
            <w:left w:val="none" w:sz="0" w:space="0" w:color="auto"/>
            <w:bottom w:val="none" w:sz="0" w:space="0" w:color="auto"/>
            <w:right w:val="none" w:sz="0" w:space="0" w:color="auto"/>
          </w:divBdr>
          <w:divsChild>
            <w:div w:id="59713971">
              <w:marLeft w:val="0"/>
              <w:marRight w:val="0"/>
              <w:marTop w:val="100"/>
              <w:marBottom w:val="0"/>
              <w:divBdr>
                <w:top w:val="none" w:sz="0" w:space="0" w:color="auto"/>
                <w:left w:val="none" w:sz="0" w:space="0" w:color="auto"/>
                <w:bottom w:val="none" w:sz="0" w:space="0" w:color="auto"/>
                <w:right w:val="none" w:sz="0" w:space="0" w:color="auto"/>
              </w:divBdr>
            </w:div>
          </w:divsChild>
        </w:div>
        <w:div w:id="1309632970">
          <w:marLeft w:val="0"/>
          <w:marRight w:val="0"/>
          <w:marTop w:val="0"/>
          <w:marBottom w:val="0"/>
          <w:divBdr>
            <w:top w:val="none" w:sz="0" w:space="0" w:color="auto"/>
            <w:left w:val="none" w:sz="0" w:space="0" w:color="auto"/>
            <w:bottom w:val="none" w:sz="0" w:space="0" w:color="auto"/>
            <w:right w:val="none" w:sz="0" w:space="0" w:color="auto"/>
          </w:divBdr>
          <w:divsChild>
            <w:div w:id="1823547329">
              <w:marLeft w:val="0"/>
              <w:marRight w:val="0"/>
              <w:marTop w:val="100"/>
              <w:marBottom w:val="0"/>
              <w:divBdr>
                <w:top w:val="none" w:sz="0" w:space="0" w:color="auto"/>
                <w:left w:val="none" w:sz="0" w:space="0" w:color="auto"/>
                <w:bottom w:val="none" w:sz="0" w:space="0" w:color="auto"/>
                <w:right w:val="none" w:sz="0" w:space="0" w:color="auto"/>
              </w:divBdr>
            </w:div>
          </w:divsChild>
        </w:div>
        <w:div w:id="1609192721">
          <w:marLeft w:val="0"/>
          <w:marRight w:val="0"/>
          <w:marTop w:val="0"/>
          <w:marBottom w:val="0"/>
          <w:divBdr>
            <w:top w:val="none" w:sz="0" w:space="0" w:color="auto"/>
            <w:left w:val="none" w:sz="0" w:space="0" w:color="auto"/>
            <w:bottom w:val="none" w:sz="0" w:space="0" w:color="auto"/>
            <w:right w:val="none" w:sz="0" w:space="0" w:color="auto"/>
          </w:divBdr>
          <w:divsChild>
            <w:div w:id="271741072">
              <w:marLeft w:val="0"/>
              <w:marRight w:val="0"/>
              <w:marTop w:val="100"/>
              <w:marBottom w:val="0"/>
              <w:divBdr>
                <w:top w:val="none" w:sz="0" w:space="0" w:color="auto"/>
                <w:left w:val="none" w:sz="0" w:space="0" w:color="auto"/>
                <w:bottom w:val="none" w:sz="0" w:space="0" w:color="auto"/>
                <w:right w:val="none" w:sz="0" w:space="0" w:color="auto"/>
              </w:divBdr>
            </w:div>
          </w:divsChild>
        </w:div>
        <w:div w:id="1627733700">
          <w:marLeft w:val="0"/>
          <w:marRight w:val="0"/>
          <w:marTop w:val="0"/>
          <w:marBottom w:val="0"/>
          <w:divBdr>
            <w:top w:val="none" w:sz="0" w:space="0" w:color="auto"/>
            <w:left w:val="none" w:sz="0" w:space="0" w:color="auto"/>
            <w:bottom w:val="none" w:sz="0" w:space="0" w:color="auto"/>
            <w:right w:val="none" w:sz="0" w:space="0" w:color="auto"/>
          </w:divBdr>
        </w:div>
        <w:div w:id="1750611151">
          <w:marLeft w:val="0"/>
          <w:marRight w:val="0"/>
          <w:marTop w:val="0"/>
          <w:marBottom w:val="0"/>
          <w:divBdr>
            <w:top w:val="none" w:sz="0" w:space="0" w:color="auto"/>
            <w:left w:val="none" w:sz="0" w:space="0" w:color="auto"/>
            <w:bottom w:val="none" w:sz="0" w:space="0" w:color="auto"/>
            <w:right w:val="none" w:sz="0" w:space="0" w:color="auto"/>
          </w:divBdr>
          <w:divsChild>
            <w:div w:id="1828090587">
              <w:marLeft w:val="0"/>
              <w:marRight w:val="0"/>
              <w:marTop w:val="100"/>
              <w:marBottom w:val="0"/>
              <w:divBdr>
                <w:top w:val="none" w:sz="0" w:space="0" w:color="auto"/>
                <w:left w:val="none" w:sz="0" w:space="0" w:color="auto"/>
                <w:bottom w:val="none" w:sz="0" w:space="0" w:color="auto"/>
                <w:right w:val="none" w:sz="0" w:space="0" w:color="auto"/>
              </w:divBdr>
            </w:div>
          </w:divsChild>
        </w:div>
        <w:div w:id="1781874977">
          <w:marLeft w:val="0"/>
          <w:marRight w:val="0"/>
          <w:marTop w:val="0"/>
          <w:marBottom w:val="0"/>
          <w:divBdr>
            <w:top w:val="none" w:sz="0" w:space="0" w:color="auto"/>
            <w:left w:val="none" w:sz="0" w:space="0" w:color="auto"/>
            <w:bottom w:val="none" w:sz="0" w:space="0" w:color="auto"/>
            <w:right w:val="none" w:sz="0" w:space="0" w:color="auto"/>
          </w:divBdr>
        </w:div>
        <w:div w:id="1976912307">
          <w:marLeft w:val="0"/>
          <w:marRight w:val="0"/>
          <w:marTop w:val="0"/>
          <w:marBottom w:val="0"/>
          <w:divBdr>
            <w:top w:val="none" w:sz="0" w:space="0" w:color="auto"/>
            <w:left w:val="none" w:sz="0" w:space="0" w:color="auto"/>
            <w:bottom w:val="none" w:sz="0" w:space="0" w:color="auto"/>
            <w:right w:val="none" w:sz="0" w:space="0" w:color="auto"/>
          </w:divBdr>
          <w:divsChild>
            <w:div w:id="15870331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54296002">
      <w:bodyDiv w:val="1"/>
      <w:marLeft w:val="0"/>
      <w:marRight w:val="0"/>
      <w:marTop w:val="0"/>
      <w:marBottom w:val="0"/>
      <w:divBdr>
        <w:top w:val="none" w:sz="0" w:space="0" w:color="auto"/>
        <w:left w:val="none" w:sz="0" w:space="0" w:color="auto"/>
        <w:bottom w:val="none" w:sz="0" w:space="0" w:color="auto"/>
        <w:right w:val="none" w:sz="0" w:space="0" w:color="auto"/>
      </w:divBdr>
    </w:div>
    <w:div w:id="1355308628">
      <w:bodyDiv w:val="1"/>
      <w:marLeft w:val="0"/>
      <w:marRight w:val="0"/>
      <w:marTop w:val="0"/>
      <w:marBottom w:val="0"/>
      <w:divBdr>
        <w:top w:val="none" w:sz="0" w:space="0" w:color="auto"/>
        <w:left w:val="none" w:sz="0" w:space="0" w:color="auto"/>
        <w:bottom w:val="none" w:sz="0" w:space="0" w:color="auto"/>
        <w:right w:val="none" w:sz="0" w:space="0" w:color="auto"/>
      </w:divBdr>
    </w:div>
    <w:div w:id="19161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В соответствии со статьей 39 Федерального закона «Об основах государственного регулирования внешнеторговой деятельности» (Далее – Закон о регулировании внешнеторговой деятельности) внешняя торговля товарами, услугами и интеллектуальной собственностью мож</vt:lpstr>
    </vt:vector>
  </TitlesOfParts>
  <Company>MCS</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со статьей 39 Федерального закона «Об основах государственного регулирования внешнеторговой деятельности» (Далее – Закон о регулировании внешнеторговой деятельности) внешняя торговля товарами, услугами и интеллектуальной собственностью мож</dc:title>
  <dc:subject/>
  <dc:creator>User</dc:creator>
  <cp:keywords/>
  <dc:description/>
  <cp:lastModifiedBy>admin</cp:lastModifiedBy>
  <cp:revision>2</cp:revision>
  <dcterms:created xsi:type="dcterms:W3CDTF">2014-04-27T22:12:00Z</dcterms:created>
  <dcterms:modified xsi:type="dcterms:W3CDTF">2014-04-27T22:12:00Z</dcterms:modified>
</cp:coreProperties>
</file>