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оценкам практически всех специалистов, рынок рекламы как экономическое понятие возник в России в 1992 г. Лишь с ноября 1991 г. появились более или менее заметные объемы рекламы в прессе( в первую очередь - в газетах “ Известия” и “Правда”), лишь спустя год - с осени 1992г. возникла в серьезных объемах реклама на телевидении.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оценках объема рекламного рынка России данные специалистов расходятся. Так, Александр Назайкин приводит следующие данные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1991г. рекламные расходы в России не превышали 3 млн. долларов( сейчас это месячный объем рекламы на нашем телевидении таких фирм как “</w:t>
      </w:r>
      <w:r>
        <w:rPr>
          <w:rFonts w:ascii="Times New Roman" w:hAnsi="Times New Roman" w:cs="Times New Roman"/>
          <w:sz w:val="24"/>
          <w:szCs w:val="24"/>
        </w:rPr>
        <w:t>Procter and Gamble</w:t>
      </w:r>
      <w:r>
        <w:rPr>
          <w:rFonts w:ascii="Times New Roman" w:hAnsi="Times New Roman" w:cs="Times New Roman"/>
          <w:sz w:val="24"/>
          <w:szCs w:val="24"/>
          <w:lang w:val="ru-RU"/>
        </w:rPr>
        <w:t>” или “Марс - Россия”). В 1992 г. объем рекламного рынка составил около 51млн. долларов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1993 г. свыше 220млн. долларов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1994 г. - 1,2 млрд. долларов.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Президент Российской ассоциации рекламных агентств и президент  р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а “Максима” Владимир Евстафьев дает несколько меньшие цифры объемов рекламы в центральных СМИ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1992 г. - 55млн. долларов, 1993 г. - 200млн. долларов, 1994 г. - 986млн. долларов ( 1500млн. долларов - с региональными СМИ). Характерно, что В. Евстафьев оценивает долю региональной рекламы как весьма значительную - 34% за 1994 г., 35% - за 1995 г.</w:t>
      </w:r>
    </w:p>
    <w:p w:rsidR="000A5C92" w:rsidRDefault="000A5C92">
      <w:pPr>
        <w:pStyle w:val="2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При этом, следует учитывать “рекламный мораторий” первого канала. Цены на размещение телевизионной рекламы, “потолок” которых на ОРТ дошел до 30000 долларов за минуту, на “России” - до 24000 долларов, на НТВ - до 28000 долларов за минуту, как минимум раз в 8 ниже соответствующих тарифов на размещение рекламы в “прайм - тайме” общенациональных телекампаний в США.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любом случае, экстенсивный этап развития рекламного рынка в России закончился и далее на нем должны произойти некоторые качественные изменения, заключающиеся, прежде всего, в некотором перераспределении расходов рекламодателей.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Можно с уверенностью прогнозировать, что значительный коммерческий успех ожидает тех, кто займется на отечественном рынке составлением качественных адресных баз данных, продажей по каталогам, прямым маркетингом.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Что касается наружной рекламы, по - видимому, рынки Москвы и С - Петербурга достигли насыщения - дальнейший рост расходов рекламодателей на “наружку” будет происходить только за счет регионов. Кроме того, значительный прирост наружной рекламы должны обеспечить табак и алкоголь, для которых с 1 января 1996г. законом РФ “О рекламе” полностью запрещена телереклама.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Отдельный разговор - о рекламе в метро. Данные исследовательского центра “</w:t>
      </w:r>
      <w:r>
        <w:rPr>
          <w:rFonts w:ascii="Times New Roman" w:hAnsi="Times New Roman" w:cs="Times New Roman"/>
          <w:sz w:val="24"/>
          <w:szCs w:val="24"/>
        </w:rPr>
        <w:t xml:space="preserve">Comcon - </w:t>
      </w:r>
      <w:r>
        <w:rPr>
          <w:rFonts w:ascii="Times New Roman" w:hAnsi="Times New Roman" w:cs="Times New Roman"/>
          <w:sz w:val="24"/>
          <w:szCs w:val="24"/>
          <w:lang w:val="ru-RU"/>
        </w:rPr>
        <w:t>2” показывают ее чрезвычайно высокую эффективность ( третье место по запоминаемости у респондентов после рекламы в прессе и на телевидении). Не удивительно, что в силу несравнимо большего значения метрополитена как транспортного средства в России нежели на Западе, этот специфический вид рекламы будет развиваться в России и странах СНГ опережающими темпами.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Радиореклама слабо развивается, так как считается неэффективной и не сулит высоких доходов. Из крупных рекламных агентств (за исключением коммерческих проектов “</w:t>
      </w:r>
      <w:r>
        <w:rPr>
          <w:rFonts w:ascii="Times New Roman" w:hAnsi="Times New Roman" w:cs="Times New Roman"/>
          <w:sz w:val="24"/>
          <w:szCs w:val="24"/>
        </w:rPr>
        <w:t>Video International</w:t>
      </w:r>
      <w:r>
        <w:rPr>
          <w:rFonts w:ascii="Times New Roman" w:hAnsi="Times New Roman" w:cs="Times New Roman"/>
          <w:sz w:val="24"/>
          <w:szCs w:val="24"/>
          <w:lang w:val="ru-RU"/>
        </w:rPr>
        <w:t>” на “Радио России”), никто не хочет работать с радиорекламой.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Главной тенденцией является “регионализация” рынка российской рекламы. Если еще два года назад, на рекламный рынок Москвы приходилось свыше 90% оборота, то сегодня - уже не более 65 - 70%. Примерно 10% рекламного рынка России приходится на С - Петербург, не менее 2% - на Новосибирск и т.д..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Учитывая так называемый “информационный вакуум” в области политической рекламы в России, хотелось бы по подробней остановиться на этой теме.</w:t>
      </w:r>
    </w:p>
    <w:p w:rsidR="000A5C92" w:rsidRDefault="000A5C92">
      <w:pPr>
        <w:pStyle w:val="21"/>
      </w:pPr>
      <w:r>
        <w:t>Политическая реклама, как явление, (то, что было до этого правильнее именовать - агитация и пропаганда) возникла в России начиная с апрельского референдума 1993г. и избирательных кампаний по выборам в Государственную Думу декабря 1993 и декабря 1995гг.. В отличие от рекламы товарной, у рекламы политической в России нет предыстории - слишком коротка история Российского парламентаризма в 19- начале 20 века, политические деятели в России исторически привыкли использовать в своем арсенале воздействие на умы не рекламные, а агитационно - пропагандистские методы.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Конечно, грань между ними весьма тонка, но все же очевидно, что такие формы как митинг, распространение листовок, плакатов, выступление или интервью политического лидера (пусть и транслируемое по радио или телевидению) - традиционная агитация или пропаганда. Если же политическая партия заказывает в рекламном агентстве телеролик или радиоспот, да еще просит просчитать эффективность его размещения в СМИ в соответствии с законами медиапланирования, применяемыми для рекламы товарной - это уже политическая реклама. Хотя по уровню идей и стилистике отечественная политическая реклама все еще не вышла из стадии агитации и пропаганды.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Любой исследователь, попытающийся заняться анализом политической рекламы в России, столкнется с практически непреодолимыми трудностями, заключающимися в отсутствии каких либо как фактических, так и статистических данных.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Даже на прошедшем в ноябре 1995г. 5-м  Московском международном фестивале рекламы широко объявленная номинация “политическая реклама”, по - существу, провалилась из - за отсутствия работ. Из 43 - х участвующих в выборах партий и движений, свои телевизионные ролики решились выставить лишь 4 партии. Поскольку, это единственный случай “официально объявленного авторства” в российской политической рекламе. Это ролики блока Ивана Рыбкина (сценарист В. Перепелкин, режиссер Т. Бекмамбетов, рекламное агентство “</w:t>
      </w:r>
      <w:r>
        <w:rPr>
          <w:rFonts w:ascii="Times New Roman" w:hAnsi="Times New Roman" w:cs="Times New Roman"/>
          <w:sz w:val="24"/>
          <w:szCs w:val="24"/>
        </w:rPr>
        <w:t>Video International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”), ролик движения “Женщины России” (сценаристы Н. Осипова, Н. Ламм, С, Орлов, режиссер С. Рудаков, рекламное агентство “Аврора”), ролик блока “Общее дело” (сценарист А. Коршиков, режиссер В. Алтунин, производство телекампании “ВКТ”) и ролик “Партии любителей пива” (сценарист М. Каламкаров, режиссер В. Чигинский, и их же производство). Вся остальная политическая реклама России - безымянна и говорить о ее принадлежности можно лишь, опираясь на слухи или , в лучшем случае, отрывочные сообщения прессы. Из профессиональных изданий лишь газета “Рекламный мир” начиная с лета 1995г. постоянно освещала проблемы политической рекламы (редактор рубрики - О. Трофимова). Причина здесь одна - традиционная “закрытость жанра”, взаимное нежелание имиджмекеров из штаб - квартир партий и рекламных агентств раскрывать свое сотрудничество, “светить” рекламные бюджеты политических кампаний. Однозначно одно - начиная с декабрьской кампании 1993г. большинство партий и движений работают с наиболее профессиональными и известными рекламными агентствами России. Однако, говорить о каких либо постоянных формах сотрудничества на этом рынке, нельзя. Агентства привлекаются  в качестве производителей рекламной продукции либо для размещения политической рекламы в СМИ и наружной рекламы. Причем, не редки случаи, когда одна партия работает сразу с несколькими рекламными агентствами, выбирая их исходя лишь из максимальных скидок на размещение рекламы в СМИ. 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Так, во время декабрьских выборов 1995г. телевизионную рекламу “Нашего дома - России” размещали рекламные агентства Премьер СВ, Аврора, РИМ, креативные разработки и исследования вели - РИМ, ИМА - пресс, дизайн - бюро </w:t>
      </w:r>
      <w:r>
        <w:rPr>
          <w:rFonts w:ascii="Times New Roman" w:hAnsi="Times New Roman" w:cs="Times New Roman"/>
          <w:sz w:val="24"/>
          <w:szCs w:val="24"/>
        </w:rPr>
        <w:t xml:space="preserve">Agey Tomesh </w:t>
      </w:r>
      <w:r>
        <w:rPr>
          <w:rFonts w:ascii="Times New Roman" w:hAnsi="Times New Roman" w:cs="Times New Roman"/>
          <w:sz w:val="24"/>
          <w:szCs w:val="24"/>
          <w:lang w:val="ru-RU"/>
        </w:rPr>
        <w:t>и др.. Любопытно, что подобная политика “всеядности” партий, создает для рекламного бизнеса проблемы с оплатой труда - по сведениям Российской ассоциации рекламных агентств, с некоторыми агентствами, решившими отказаться от традиционной практики предоплаты в работе с политическими партиями, не расплатились полностью даже по итогам избирательной кампании 1993г..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Перейдем к собственно анализу телерекламы рекламы политических партий и движений в декабре 1995г.Общий объем политической рекламы на телевидении за ноябрь - декабрь 1995г. составил 28 часов 45 минут. Наиболее популярным у политических лидеров оказались Московский телеканал - 7часов 27 минут и телеканал 2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ru-RU"/>
        </w:rPr>
        <w:t>2 - 5 часов 25 минут. Далее следуют ТВ - 6 - 4 часа 38 минут и С - Петербургский канал - 3 часа 1 минута. Замыкают список телеканалы с самыми высокими рекламными тарифами - ОРТ - 2часа 32 минуты и “Россия” - 2 часа 26 минут. Картина распределения объемов телевизионной рекламы между политическими партиями и движениями представлена в таблице.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134" w:type="dxa"/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2127"/>
        <w:gridCol w:w="1984"/>
      </w:tblGrid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партии, движения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рекламное время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 затрат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полученных на выборах голосов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“Наш дом - Россия”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ч. 18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2.487.395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9.89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ЛДПР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ч. 57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626.555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Блок Ивана Рыбкина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ч.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984.701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Мое Отечество 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ч. 44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621.653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0.72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ДВР-Объединенные демократы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ч. 22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608.965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3.90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Союз Труда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ч. 09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97.791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1.63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Яблоко 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365.588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6.93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Женщины России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193.915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4.60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Стабильная Россия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166.090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0.12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Партия любителей  пива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74.398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0.65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Партия самоуправления трудящихся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31.825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4.01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КПРФ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22.31</w:t>
            </w:r>
          </w:p>
        </w:tc>
      </w:tr>
      <w:tr w:rsidR="000A5C92" w:rsidRPr="000A5C9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C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Коммунисты-за СССР</w:t>
            </w:r>
          </w:p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мин.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Бесплатно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A5C92" w:rsidRPr="000A5C92" w:rsidRDefault="000A5C9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5C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4.52</w:t>
            </w:r>
          </w:p>
        </w:tc>
      </w:tr>
    </w:tbl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C92" w:rsidRDefault="000A5C9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A5C92" w:rsidRDefault="000A5C92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sectPr w:rsidR="000A5C92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endnotePr>
    <w:pos w:val="sectEnd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118"/>
    <w:rsid w:val="000A5C92"/>
    <w:rsid w:val="007B1118"/>
    <w:rsid w:val="00965437"/>
    <w:rsid w:val="00A9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E01DE36-71CF-4B3C-ACD4-5AE0AD45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S Sans Serif" w:hAnsi="MS Sans Serif" w:cs="MS Sans Serif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line="360" w:lineRule="auto"/>
      <w:ind w:firstLine="851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20">
    <w:name w:val="Основной текст 2 Знак"/>
    <w:link w:val="2"/>
    <w:uiPriority w:val="99"/>
    <w:semiHidden/>
    <w:rPr>
      <w:rFonts w:ascii="MS Sans Serif" w:hAnsi="MS Sans Serif" w:cs="MS Sans Serif"/>
      <w:sz w:val="20"/>
      <w:szCs w:val="20"/>
      <w:lang w:val="en-US"/>
    </w:rPr>
  </w:style>
  <w:style w:type="paragraph" w:styleId="21">
    <w:name w:val="Body Text Indent 2"/>
    <w:basedOn w:val="a"/>
    <w:link w:val="22"/>
    <w:uiPriority w:val="99"/>
    <w:pPr>
      <w:ind w:firstLine="567"/>
      <w:jc w:val="both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link w:val="21"/>
    <w:uiPriority w:val="99"/>
    <w:semiHidden/>
    <w:rPr>
      <w:rFonts w:ascii="MS Sans Serif" w:hAnsi="MS Sans Serif" w:cs="MS Sans Seri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5577</Words>
  <Characters>3179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оценкам практически всех специалистов, рынок рекламы как экономическое понятие возник в России в 1992 г</vt:lpstr>
    </vt:vector>
  </TitlesOfParts>
  <Company>ОАО "Краснодарагроспецпроект"</Company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оценкам практически всех специалистов, рынок рекламы как экономическое понятие возник в России в 1992 г</dc:title>
  <dc:subject/>
  <dc:creator>N/A</dc:creator>
  <cp:keywords/>
  <dc:description/>
  <cp:lastModifiedBy>admin</cp:lastModifiedBy>
  <cp:revision>2</cp:revision>
  <dcterms:created xsi:type="dcterms:W3CDTF">2014-01-27T18:43:00Z</dcterms:created>
  <dcterms:modified xsi:type="dcterms:W3CDTF">2014-01-27T18:43:00Z</dcterms:modified>
</cp:coreProperties>
</file>