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72" w:rsidRPr="00A51C3F" w:rsidRDefault="00BF7B72" w:rsidP="00BF7B72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A51C3F">
        <w:rPr>
          <w:b/>
          <w:bCs/>
          <w:sz w:val="32"/>
          <w:szCs w:val="32"/>
        </w:rPr>
        <w:t>Круговорот биогенных элементов</w:t>
      </w:r>
    </w:p>
    <w:p w:rsidR="00BF7B72" w:rsidRPr="00A51C3F" w:rsidRDefault="00BF7B72" w:rsidP="00BF7B72">
      <w:pPr>
        <w:spacing w:before="120" w:line="240" w:lineRule="auto"/>
        <w:jc w:val="center"/>
        <w:rPr>
          <w:sz w:val="28"/>
          <w:szCs w:val="28"/>
        </w:rPr>
      </w:pPr>
      <w:r w:rsidRPr="00A51C3F">
        <w:rPr>
          <w:sz w:val="28"/>
          <w:szCs w:val="28"/>
        </w:rPr>
        <w:t>Чибисова Н.В., Долгань Е.К.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Нам известно, что углерод, азот, водород, кислород, фосфор, сера формируют живые организмы. Однако эти организмы не смогут жить без достаточного количества многих других элементов - катионов металлов.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Среди них калий, кальций, магний (иногда натрий) относятся к группе макроэлементов, так как они необходимы в больших количествах (выражающихся в сотых долях сухого вещества); однако такие элементы, как железо, бор, цинк, медь, марганец, молибден, кобальт, анион хлора, относятся к микроэлементам и нужны лишь в малых количествах (выражающихся в миллионных долях сухого вещества).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На суше главным источником биогенных элементов (катионов) служит почва, которая получает их в процессе разрушения материнских пород. Катионы абсорбируются корнями, распределяются различными органами растений, накапливаются в листве, т.е. входят в корм растительноядных потребителей последующих порядков в цепи питания.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Минерализация погибших организмов возвращает биогенные катионы в почву, создается впечатление, что цикл способен продолжаться беспрерывно. Однако почва выщелачивается дождями, дождевые воды переносят катионы в систему подземного стока, а также и в поверхностный сток: в реки, моря, иногда в значительных количествах.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Выщелачивание - автокаталитический процесс: чем больше оно прогрессирует, тем больше деградируют почвенные коллоиды. Положение становится особенно тяжелым в тропических местностях: ливневые дожди, низкая абсорбируемость почвенного комплекса (малое количество гумуса), истощение почв монокультурами сахарного тростника, кофе, какао, кукурузы, арахиса.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Когда вырубаются или выжигаются леса под сельское хозяйство, то минерализованный таким путем запас биогенных веществ быстро выщелачивается дождями и почва утрачивает свое плодородие. Если на ней временно прекратить посевы, то она вновь может дать жизнь лесу, но уже вторичному, с менее ценой биомассой, чем у первоначального сообщества. После повторения подобных операций почва будет покрываться все более и более скудной растительностью с уменьшающейся продукцией биомассы. Сначала образуется саванна, затем степь, наконец, пустыня. Значит, круговорот минеральных катионов сопровождает циклы углерода и азота. В умеренных широтах последствия выщелачивания не так резки, но все-таки в результате вырубок (сплошных под корень), при корчевке пней и снятия дерна разрушается гумус - ресурс питательных веществ. Следовательно, нарушается круговорот, его полнота: переход к пустоши или лугу, со скудной растительностью и меньшим запасом биомассы.</w:t>
      </w:r>
    </w:p>
    <w:p w:rsidR="00BF7B72" w:rsidRPr="00EE77B5" w:rsidRDefault="00545795" w:rsidP="00BF7B72">
      <w:pPr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.75pt;height:246pt">
            <v:imagedata r:id="rId4" o:title=""/>
          </v:shape>
        </w:pict>
      </w:r>
      <w:r w:rsidR="00BF7B72" w:rsidRPr="00EE77B5">
        <w:rPr>
          <w:sz w:val="24"/>
          <w:szCs w:val="24"/>
        </w:rPr>
        <w:t xml:space="preserve"> 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Рис. 4.3. Упрощенная схема круговорота фосфора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Истощение почвы возможно не только вследствие снятия растительного покрова, но и через сельскохозяйственные культуры. Есть такие культуры, как свекла, картофель, масличные культуры, уносящие ежегодно от 300 до 700 кг минеральных веществ на 1 га.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4.1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Ежегодный вынос из почвы веществ (кг/га) при средних урожаях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1837"/>
        <w:gridCol w:w="1837"/>
        <w:gridCol w:w="1837"/>
        <w:gridCol w:w="1837"/>
      </w:tblGrid>
      <w:tr w:rsidR="00BF7B72" w:rsidRPr="00EE77B5" w:rsidTr="0069523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3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Элемент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N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Са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Пшеница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30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» 30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Картофель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90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160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76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Люцерна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242</w:t>
            </w:r>
          </w:p>
        </w:tc>
      </w:tr>
    </w:tbl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4.2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Вынос веществ (кг/га) при вырубке лесов 100-летнего возраста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1545"/>
        <w:gridCol w:w="1545"/>
        <w:gridCol w:w="1545"/>
      </w:tblGrid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Растительность</w:t>
            </w:r>
          </w:p>
        </w:tc>
        <w:tc>
          <w:tcPr>
            <w:tcW w:w="4635" w:type="dxa"/>
            <w:gridSpan w:val="3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Элемент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Са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Р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Сосновый лес 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424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168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38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Хвойный лес 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8980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466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74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Лиственный лес 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1930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483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106</w:t>
            </w:r>
          </w:p>
        </w:tc>
      </w:tr>
      <w:tr w:rsidR="00BF7B72" w:rsidRPr="00EE77B5" w:rsidTr="00695239">
        <w:trPr>
          <w:tblCellSpacing w:w="0" w:type="dxa"/>
        </w:trPr>
        <w:tc>
          <w:tcPr>
            <w:tcW w:w="4650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Культуры: овес, травы, картофель, репа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2420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7400</w:t>
            </w:r>
          </w:p>
        </w:tc>
        <w:tc>
          <w:tcPr>
            <w:tcW w:w="1545" w:type="dxa"/>
          </w:tcPr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1060</w:t>
            </w:r>
          </w:p>
        </w:tc>
      </w:tr>
    </w:tbl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Если вырубка и вывоз из леса осуществляется очищенных деревьев, то обеднение не столь сильное, а с корой выносится много кальция.</w:t>
      </w:r>
    </w:p>
    <w:p w:rsidR="00BF7B72" w:rsidRPr="00EE77B5" w:rsidRDefault="00BF7B72" w:rsidP="00BF7B7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Интересна диаграмма распределения элементов в лесах 100-летнего возраста (в кг/га). На рисунке видно, что кальция содержится в 4 раза больше в лиственном лесу, чем в сосновом.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361"/>
        <w:gridCol w:w="1189"/>
        <w:gridCol w:w="2361"/>
      </w:tblGrid>
      <w:tr w:rsidR="00BF7B72" w:rsidRPr="00EE77B5" w:rsidTr="00695239">
        <w:trPr>
          <w:trHeight w:val="315"/>
          <w:tblCellSpacing w:w="0" w:type="dxa"/>
        </w:trPr>
        <w:tc>
          <w:tcPr>
            <w:tcW w:w="1933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BF7B72" w:rsidRPr="00EE77B5" w:rsidTr="00695239">
        <w:trPr>
          <w:trHeight w:val="1350"/>
          <w:tblCellSpacing w:w="0" w:type="dxa"/>
        </w:trPr>
        <w:tc>
          <w:tcPr>
            <w:tcW w:w="1933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1"/>
            </w:tblGrid>
            <w:tr w:rsidR="00BF7B72" w:rsidRPr="00EE77B5" w:rsidTr="0069523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Хвойный лес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Са: 676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К: 375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Р: 70</w:t>
                  </w:r>
                </w:p>
              </w:tc>
            </w:tr>
          </w:tbl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1"/>
            </w:tblGrid>
            <w:tr w:rsidR="00BF7B72" w:rsidRPr="00EE77B5" w:rsidTr="0069523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Сосновый лес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Са: 328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К: 138</w:t>
                  </w:r>
                </w:p>
                <w:p w:rsidR="00BF7B72" w:rsidRPr="00EE77B5" w:rsidRDefault="00BF7B72" w:rsidP="00545795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Р: 30</w:t>
                  </w:r>
                </w:p>
              </w:tc>
            </w:tr>
          </w:tbl>
          <w:p w:rsidR="00BF7B72" w:rsidRPr="00EE77B5" w:rsidRDefault="00BF7B7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</w:tblGrid>
      <w:tr w:rsidR="00BF7B72" w:rsidRPr="00EE77B5" w:rsidTr="00695239">
        <w:trPr>
          <w:trHeight w:val="1350"/>
          <w:tblCellSpacing w:w="0" w:type="dxa"/>
        </w:trPr>
        <w:tc>
          <w:tcPr>
            <w:tcW w:w="2205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5"/>
            </w:tblGrid>
            <w:tr w:rsidR="00BF7B72" w:rsidRPr="00EE77B5" w:rsidTr="00695239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7B72" w:rsidRPr="00EE77B5" w:rsidRDefault="00BF7B72" w:rsidP="00695239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Лиственный лес</w:t>
                  </w:r>
                </w:p>
                <w:p w:rsidR="00BF7B72" w:rsidRPr="00EE77B5" w:rsidRDefault="00BF7B72" w:rsidP="00695239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Са: 1283</w:t>
                  </w:r>
                </w:p>
                <w:p w:rsidR="00BF7B72" w:rsidRPr="00EE77B5" w:rsidRDefault="00BF7B72" w:rsidP="00695239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К: 320</w:t>
                  </w:r>
                </w:p>
                <w:p w:rsidR="00BF7B72" w:rsidRPr="00EE77B5" w:rsidRDefault="00BF7B72" w:rsidP="00695239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E77B5">
                    <w:rPr>
                      <w:sz w:val="24"/>
                      <w:szCs w:val="24"/>
                    </w:rPr>
                    <w:t>Р: 70</w:t>
                  </w:r>
                </w:p>
              </w:tc>
            </w:tr>
          </w:tbl>
          <w:p w:rsidR="00BF7B72" w:rsidRPr="00EE77B5" w:rsidRDefault="00BF7B72" w:rsidP="00695239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 </w:t>
            </w:r>
          </w:p>
        </w:tc>
      </w:tr>
    </w:tbl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B72"/>
    <w:rsid w:val="00051FB8"/>
    <w:rsid w:val="00095BA6"/>
    <w:rsid w:val="00210DB3"/>
    <w:rsid w:val="0031418A"/>
    <w:rsid w:val="00350B15"/>
    <w:rsid w:val="00377A3D"/>
    <w:rsid w:val="0052086C"/>
    <w:rsid w:val="00545795"/>
    <w:rsid w:val="005A2562"/>
    <w:rsid w:val="00695239"/>
    <w:rsid w:val="006C1D95"/>
    <w:rsid w:val="00755964"/>
    <w:rsid w:val="008C19D7"/>
    <w:rsid w:val="00A44D32"/>
    <w:rsid w:val="00A51C3F"/>
    <w:rsid w:val="00A76E66"/>
    <w:rsid w:val="00BF7B72"/>
    <w:rsid w:val="00E12572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5421E2D-A16C-4AA3-B260-7E5BDF93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B72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7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Круговорот биогенных элементов</dc:title>
  <dc:subject/>
  <dc:creator>Alena</dc:creator>
  <cp:keywords/>
  <dc:description/>
  <cp:lastModifiedBy>admin</cp:lastModifiedBy>
  <cp:revision>2</cp:revision>
  <dcterms:created xsi:type="dcterms:W3CDTF">2014-02-19T12:02:00Z</dcterms:created>
  <dcterms:modified xsi:type="dcterms:W3CDTF">2014-02-19T12:02:00Z</dcterms:modified>
</cp:coreProperties>
</file>