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AA7" w:rsidRDefault="00090D23">
      <w:pPr>
        <w:pStyle w:val="a3"/>
      </w:pPr>
      <w:r>
        <w:br/>
      </w:r>
      <w:r>
        <w:br/>
        <w:t>План</w:t>
      </w:r>
      <w:r>
        <w:br/>
        <w:t xml:space="preserve">Введение </w:t>
      </w:r>
      <w:r>
        <w:br/>
      </w:r>
      <w:r>
        <w:rPr>
          <w:b/>
          <w:bCs/>
        </w:rPr>
        <w:t xml:space="preserve">1 Путешествие </w:t>
      </w:r>
      <w:r>
        <w:rPr>
          <w:b/>
          <w:bCs/>
        </w:rPr>
        <w:br/>
        <w:t>1.1 Каракорум</w:t>
      </w:r>
      <w:r>
        <w:rPr>
          <w:b/>
          <w:bCs/>
        </w:rPr>
        <w:br/>
      </w:r>
      <w:r>
        <w:br/>
      </w:r>
      <w:r>
        <w:rPr>
          <w:b/>
          <w:bCs/>
        </w:rPr>
        <w:t>2 «Путешествие в восточные страны»</w:t>
      </w:r>
      <w:r>
        <w:br/>
      </w:r>
      <w:r>
        <w:rPr>
          <w:b/>
          <w:bCs/>
        </w:rPr>
        <w:t>3 Итог путешествия</w:t>
      </w:r>
      <w:r>
        <w:br/>
      </w:r>
      <w:r>
        <w:rPr>
          <w:b/>
          <w:bCs/>
        </w:rPr>
        <w:t>4 В искусстве</w:t>
      </w:r>
      <w:r>
        <w:br/>
      </w:r>
      <w:r>
        <w:br/>
      </w:r>
      <w:r>
        <w:br/>
      </w:r>
    </w:p>
    <w:p w:rsidR="00092AA7" w:rsidRDefault="00090D23">
      <w:pPr>
        <w:pStyle w:val="21"/>
        <w:pageBreakBefore/>
        <w:numPr>
          <w:ilvl w:val="0"/>
          <w:numId w:val="0"/>
        </w:numPr>
      </w:pPr>
      <w:r>
        <w:t>Введение</w:t>
      </w:r>
    </w:p>
    <w:p w:rsidR="00092AA7" w:rsidRDefault="00090D23">
      <w:pPr>
        <w:pStyle w:val="a3"/>
      </w:pPr>
      <w:r>
        <w:t>Гильом де Рубрук (</w:t>
      </w:r>
      <w:r>
        <w:rPr>
          <w:i/>
          <w:iCs/>
        </w:rPr>
        <w:t>Guillaume de Rubrouck</w:t>
      </w:r>
      <w:r>
        <w:t>, букв. «Гильом из Рубрука») (ок. 1220 — ок. 1293) — фламандский монах-францисканец, путешественник. В 1253—1255 годах по поручению французского короля Людовика IX совершил путешествие к монголам. Автор книги «Путешествие в восточные страны». Его вклад в средневековую географическую литературу сопоставим с вкладом Марко Поло.</w:t>
      </w:r>
    </w:p>
    <w:p w:rsidR="00092AA7" w:rsidRDefault="00090D23">
      <w:pPr>
        <w:pStyle w:val="21"/>
        <w:pageBreakBefore/>
        <w:numPr>
          <w:ilvl w:val="0"/>
          <w:numId w:val="0"/>
        </w:numPr>
      </w:pPr>
      <w:r>
        <w:t xml:space="preserve">1. Путешествие </w:t>
      </w:r>
    </w:p>
    <w:p w:rsidR="00092AA7" w:rsidRDefault="00090D23">
      <w:pPr>
        <w:pStyle w:val="a3"/>
      </w:pPr>
      <w:r>
        <w:t>Гильом де Рубрук сопровождал Людовика Французского во время Седьмого крестового похода, закончившегося крайне неудачно. Выкупившись из плена, Людовик ещё четыре года оставался в Святой земле. В 1251 году в Цезарее он принял Андре де Лонжюмо, миссия которого завершилась безрезультатно. Но Людовик не оставил надежды наладить сотрудничество с монголами. В 1252 году французский король поручил Рубруку отправиться в южнорусские степи, в ставку хана Бату. Помня о неуспехе посольства Лонжюмо, Людовик посоветовал Рубруку скрывать дипломатический характер поездки и путешествовать как миссионеру.</w:t>
      </w:r>
    </w:p>
    <w:p w:rsidR="00092AA7" w:rsidRDefault="00090D23">
      <w:pPr>
        <w:pStyle w:val="a3"/>
      </w:pPr>
      <w:r>
        <w:t>Весной 1252 года Рубрук и его спутники отправились из города Акка (Акра, Аккон), порта в Северной Палестине (к северу от мыса Кармел), в Константинополь, где задержались до весны следующего года. 7 мая 1253 года, получив рекомендательные письма от императора Балдуина II, они выехали из Константинополя. Переправившись через Чёрное море и высадившись в порту Салдайя (Судак) на южном берегу Крыма, монахи купили запряжённую четырьмя волами крытую повозку и двинулись к низовьям Волги, где была ставка Батыя. Достигнув пределов Азовского моря, путешественники направились на восток.</w:t>
      </w:r>
    </w:p>
    <w:p w:rsidR="00092AA7" w:rsidRDefault="00090D23">
      <w:pPr>
        <w:pStyle w:val="a3"/>
      </w:pPr>
      <w:r>
        <w:t>После двухмесячного путешествия Рубрук прибыл в лагерь хана Сартака, расположенный на берегу Волги. Рубрук и его спутники просили доложить Сартаку об их приезде, и тот согласился принять чужестранцев. Облачившись в церковные одеяния, разложив на подушке Библию, псалтырь, требник, распятие и кадило, с пением молитв они вошли в палатку Сартака. Сартак с любопытством рассматривал монахов и их одеяние, но в переговоры с ними не вступил, предложив им отправиться к его отцу, хану Батыю. Однако и Батый не захотел вступить в переговоры с посланниками французского короля, а отослал их к великому хану Мункэ, в Каракорум.</w:t>
      </w:r>
    </w:p>
    <w:p w:rsidR="00092AA7" w:rsidRDefault="00090D23">
      <w:pPr>
        <w:pStyle w:val="a3"/>
      </w:pPr>
      <w:r>
        <w:t>8 августа Рубрук пересек Этилию (Итиль, то есть Волгу), третью из четырёх великих рек, которые он называет в своём описании. Продолжая свой путь примерно на восток в течение 34 дней после перехода реки Урал, он прибыл в бассейн реки Сырдарьи, откуда повернул на юго-восток. В течение семи дней Рубрук ехал горной дорогой вдоль северо-западных отрогов Алатау.</w:t>
      </w:r>
    </w:p>
    <w:p w:rsidR="00092AA7" w:rsidRDefault="00090D23">
      <w:pPr>
        <w:pStyle w:val="a3"/>
      </w:pPr>
      <w:r>
        <w:t>8 ноября он достиг долины реки Талас и города Кенчат, а на следующий день другого поселения, ближе к горам. Вот что пишет об этом Рубрук:</w:t>
      </w:r>
    </w:p>
    <w:p w:rsidR="00092AA7" w:rsidRDefault="00090D23">
      <w:pPr>
        <w:pStyle w:val="a3"/>
      </w:pPr>
      <w:r>
        <w:t>Вслед за этим Рубрук и его спутники перешли горы и пошли прекрасной равниной, имея по правую руку высокие горы, а по левую море или озеро; чтобы объехать его кругом, нужно 15 дней . Это было озеро Балхаш. Далее Рубрук поехал мимо озера Алаколь и через Монголию ко двору великого хана, куда и прибыл 26 декабря. Отсюда после некоторой задержки Рубрук переехал вместе со всем двором в столицу Каракорум.</w:t>
      </w:r>
    </w:p>
    <w:p w:rsidR="00092AA7" w:rsidRDefault="00090D23">
      <w:pPr>
        <w:pStyle w:val="31"/>
        <w:numPr>
          <w:ilvl w:val="0"/>
          <w:numId w:val="0"/>
        </w:numPr>
      </w:pPr>
      <w:r>
        <w:t>1.1. Каракорум</w:t>
      </w:r>
    </w:p>
    <w:p w:rsidR="00092AA7" w:rsidRDefault="00090D23">
      <w:pPr>
        <w:pStyle w:val="a3"/>
      </w:pPr>
      <w:r>
        <w:t>Этот город, по словам Рубрука, был обнесён земляными стенами, с воротами на каждой из четырёх сторон. Дворец великого хана Мункэ, две мусульманские мечети и один христианский храм составляли главные здания города. Великого хана в это время не было в столице, и поэтому Рубрук вместе со своими спутниками должен был отправиться в его резиденцию, находившуюся по ту сторону гор, в северной части страны. На следующий день состоялась церемония их представления ко двору хана.</w:t>
      </w:r>
    </w:p>
    <w:p w:rsidR="00092AA7" w:rsidRDefault="00090D23">
      <w:pPr>
        <w:pStyle w:val="a3"/>
      </w:pPr>
      <w:r>
        <w:t>Следуя правилу францисканских монахов, они шли босые, причём отморозили себе пальцы на ногах, так как был сильный мороз. Когда татары ввели монахов к Мункэ, они увидели перед собой курносого человека среднего роста, лежащего на большом диване; на нем была меховая одежда, блестящая, как шкура тюленя. Вокруг Мункэ-хана сидели на шестах соколы и другие птицы. Послам французского короля были предложены разные напитки: арак, кумыс и мёд. Но послы воздержались от питья; сам же хан вскоре охмелел, и аудиенция должна была прекратиться. Рубрук провёл несколько недель при дворе Мункэ-хана, где встретил много немецких и французских пленников, которых заставляли выделывать оружие, домашнюю утварь.</w:t>
      </w:r>
    </w:p>
    <w:p w:rsidR="00092AA7" w:rsidRDefault="00090D23">
      <w:pPr>
        <w:pStyle w:val="a3"/>
      </w:pPr>
      <w:r>
        <w:t>После нескольких аудиенций у великого хана Рубрук получил позволение вернуться в Каракорум и там переждать зиму. Во время своего пребывания в Каракоруме Рубрук собрал интересные сведения о китайцах, об их нравах, обычаях, письме. Монгольская столица, за исключением двора великого хана, не произвела на него впечатления. Поразило монаха другое — наличие, кроме языческих, буддийских храмов, двух мечетей и одной христианской (несторианской) церкви — доказательство непонятной для средневековых католиков веротерпимости монголов. Мункэ передал послу письмо французскому королю. Он называл себя в этом письме владыкой мира и требовал от французов присяги на верность, если они хотят жить с ним в мире.</w:t>
      </w:r>
    </w:p>
    <w:p w:rsidR="00092AA7" w:rsidRDefault="00090D23">
      <w:pPr>
        <w:pStyle w:val="a3"/>
      </w:pPr>
      <w:r>
        <w:t>Спутник Рубрука, монах-итальянец Бартоломео из Кремоны, остался при местной христианской церкви. Рубрук же 6 июня 1254 года покинул монгольскую столицу и поехал обратно той же дорогой, но, достигнув города Астрахани, расположенного близ устья Волги, на этот раз направился к югу и через Дербент, Нахичевань, Эрзерум и Малую Азию достиг порта Акка на берегу Средиземного моря.</w:t>
      </w:r>
    </w:p>
    <w:p w:rsidR="00092AA7" w:rsidRDefault="00090D23">
      <w:pPr>
        <w:pStyle w:val="a3"/>
      </w:pPr>
      <w:r>
        <w:t>16 июня 1255 года Рубрук прибыл в Фамагусту на Кипре, а в августе вернулся в свой монастырь.</w:t>
      </w:r>
    </w:p>
    <w:p w:rsidR="00092AA7" w:rsidRDefault="00090D23">
      <w:pPr>
        <w:pStyle w:val="21"/>
        <w:pageBreakBefore/>
        <w:numPr>
          <w:ilvl w:val="0"/>
          <w:numId w:val="0"/>
        </w:numPr>
      </w:pPr>
      <w:r>
        <w:t>2. «Путешествие в восточные страны»</w:t>
      </w:r>
    </w:p>
    <w:p w:rsidR="00092AA7" w:rsidRDefault="00090D23">
      <w:pPr>
        <w:pStyle w:val="a3"/>
      </w:pPr>
      <w:r>
        <w:t>Миссия в Каракорум принесла важные географические сведения. О Каспийском море Рубрук писал:</w:t>
      </w:r>
    </w:p>
    <w:p w:rsidR="00092AA7" w:rsidRDefault="00090D23">
      <w:pPr>
        <w:pStyle w:val="a3"/>
      </w:pPr>
      <w:r>
        <w:t>Рассказ Рубрука о виденных им странах содержал также туманные указания на существование и других народностей, помимо виденных ими. Так, описывая людей, живших за пределами юрисдикции ханского двора, Рубрук говорит, что «далее находится великая Катайя (Китай), жители которой, как я полагаю, в древности назывались серами (seres), ибо от них прибывают самые лучшие шёлковые ткани, называемые по латыни serici» . Рубрук был первым человеком, вслух высказавшим предположение, что Катайя (Китай) и Серес были двумя частями одного целого.</w:t>
      </w:r>
    </w:p>
    <w:p w:rsidR="00092AA7" w:rsidRDefault="00090D23">
      <w:pPr>
        <w:pStyle w:val="a3"/>
      </w:pPr>
      <w:r>
        <w:t>Рубрук первым в европейской литературе указал на одну из основных черт рельефа Центральной Азии — наличие Центрально-азиатского нагорья. Этот вывод сделан из наблюдений над направлением течения азиатских рек, встречавшихся на пути.</w:t>
      </w:r>
    </w:p>
    <w:p w:rsidR="00092AA7" w:rsidRDefault="00090D23">
      <w:pPr>
        <w:pStyle w:val="a3"/>
      </w:pPr>
      <w:r>
        <w:t>Рубрук описал также, в общих чертах, по расспросным данным, ряд стран Центральной и Восточной Азии. Он указал, что Катай (Северный Китай) прилегает на востоке к океану. Он собрал сведения (скудные и порой неточные) о маньчжурах, корейцах и некоторых народностях Северной Азии.</w:t>
      </w:r>
    </w:p>
    <w:p w:rsidR="00092AA7" w:rsidRDefault="00090D23">
      <w:pPr>
        <w:pStyle w:val="a3"/>
      </w:pPr>
      <w:r>
        <w:t>Рубрук сообщает интересные подробности о крупной торговле солью с низовьев Дона:</w:t>
      </w:r>
    </w:p>
    <w:p w:rsidR="00092AA7" w:rsidRDefault="00090D23">
      <w:pPr>
        <w:pStyle w:val="a3"/>
      </w:pPr>
      <w:r>
        <w:t>На севере этой области находится много больших озер, на берегах которых имеются соляные источники; как только вода их попадает в озеро, образуется соль, твердая, как лед; с этих солончаков Батый и Сартак получают большие доходы, так как со всей Руссии ездят туда за солью, и со всякой нагруженной Повозки дают два куска хлопчатой бумаги… Морем также приходит за этой солью Много судов, которые все платят пошлину по своему грузу.</w:t>
      </w:r>
    </w:p>
    <w:p w:rsidR="00092AA7" w:rsidRDefault="00090D23">
      <w:pPr>
        <w:pStyle w:val="21"/>
        <w:pageBreakBefore/>
        <w:numPr>
          <w:ilvl w:val="0"/>
          <w:numId w:val="0"/>
        </w:numPr>
      </w:pPr>
      <w:r>
        <w:t>3. Итог путешествия</w:t>
      </w:r>
    </w:p>
    <w:p w:rsidR="00092AA7" w:rsidRDefault="00090D23">
      <w:pPr>
        <w:pStyle w:val="a3"/>
      </w:pPr>
      <w:r>
        <w:t>В дипломатическом отношении путешествие Рубрука не принесло французскому королю никакой пользы, поскольку в качестве основы для сотрудничества великий хан требовал его формального подчинения. Хан Хулагу, брат Мунке, независимо от западного христианского мира возглавил поход на Ближний Восток (Крестовый поход хана Хулагу). Однако это путешествие намного расширило знания о Центральной Азии, о которой Рубрук оставил превосходное сообщение. Составленное на латинском языке сочинение было впервые опубликовано в 1589 году. Труд Рубрука был высоко оценён современниками и потомками. Видный немецкий географ конца XIX века О.Пешель назвал его «величайшим географическим шедевром Средневековья». Рубрук сообщил интересные сведения о Китае, киргизах (хакасах), урянхайцах (тувинцах) и других народах.</w:t>
      </w:r>
    </w:p>
    <w:p w:rsidR="00092AA7" w:rsidRDefault="00090D23">
      <w:pPr>
        <w:pStyle w:val="21"/>
        <w:pageBreakBefore/>
        <w:numPr>
          <w:ilvl w:val="0"/>
          <w:numId w:val="0"/>
        </w:numPr>
      </w:pPr>
      <w:r>
        <w:t>4. В искусстве</w:t>
      </w:r>
    </w:p>
    <w:p w:rsidR="00092AA7" w:rsidRDefault="00090D23">
      <w:pPr>
        <w:pStyle w:val="a3"/>
        <w:numPr>
          <w:ilvl w:val="0"/>
          <w:numId w:val="2"/>
        </w:numPr>
        <w:tabs>
          <w:tab w:val="left" w:pos="707"/>
        </w:tabs>
      </w:pPr>
      <w:r>
        <w:t>Рубруку посвящена поэма Николая Заболоцкого «Рубрук в Монголии».</w:t>
      </w:r>
    </w:p>
    <w:p w:rsidR="00092AA7" w:rsidRDefault="00090D23">
      <w:pPr>
        <w:pStyle w:val="21"/>
        <w:numPr>
          <w:ilvl w:val="0"/>
          <w:numId w:val="0"/>
        </w:numPr>
      </w:pPr>
      <w:r>
        <w:t>Литература</w:t>
      </w:r>
    </w:p>
    <w:p w:rsidR="00092AA7" w:rsidRDefault="00090D23">
      <w:pPr>
        <w:pStyle w:val="a3"/>
        <w:numPr>
          <w:ilvl w:val="0"/>
          <w:numId w:val="1"/>
        </w:numPr>
        <w:tabs>
          <w:tab w:val="left" w:pos="707"/>
        </w:tabs>
        <w:spacing w:after="0"/>
      </w:pPr>
      <w:r>
        <w:t>Джованни дель Плано Карпини. История монгалов. Гильом де Рубрук. Путешествия в восточные страны. Книга Марко Поло. Перев. И. М. Минаев. М.: 1997.</w:t>
      </w:r>
    </w:p>
    <w:p w:rsidR="00092AA7" w:rsidRDefault="00090D23">
      <w:pPr>
        <w:pStyle w:val="a3"/>
        <w:numPr>
          <w:ilvl w:val="0"/>
          <w:numId w:val="1"/>
        </w:numPr>
        <w:tabs>
          <w:tab w:val="left" w:pos="707"/>
        </w:tabs>
      </w:pPr>
      <w:r>
        <w:t>The Mission of Friar William of Rubruck: His Journey to the Court of the Great Khan Mongke, 1253—1255. Tr. by P. Jackson. Aldershot: Ashgate, 1990.</w:t>
      </w:r>
    </w:p>
    <w:p w:rsidR="00092AA7" w:rsidRDefault="00090D23">
      <w:pPr>
        <w:pStyle w:val="a3"/>
        <w:spacing w:after="0"/>
      </w:pPr>
      <w:r>
        <w:t>Источник: http://ru.wikipedia.org/wiki/Гильом_де_Рубрук</w:t>
      </w:r>
      <w:bookmarkStart w:id="0" w:name="_GoBack"/>
      <w:bookmarkEnd w:id="0"/>
    </w:p>
    <w:sectPr w:rsidR="00092AA7">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
    <w:nsid w:val="00000002"/>
    <w:multiLevelType w:val="multilevel"/>
    <w:tmpl w:val="00000002"/>
    <w:name w:val="RTF_Num 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0000003"/>
    <w:multiLevelType w:val="multilevel"/>
    <w:tmpl w:val="00000003"/>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pStyle w:val="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0D23"/>
    <w:rsid w:val="00090D23"/>
    <w:rsid w:val="00092AA7"/>
    <w:rsid w:val="00A04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470F7C-C859-4511-B1CE-980C5A4E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rPr>
      <w:rFonts w:ascii="StarSymbol" w:eastAsia="StarSymbol" w:hAnsi="StarSymbol" w:cs="StarSymbol"/>
      <w:sz w:val="18"/>
      <w:szCs w:val="18"/>
    </w:rPr>
  </w:style>
  <w:style w:type="character" w:customStyle="1" w:styleId="RTFNum22">
    <w:name w:val="RTF_Num 2 2"/>
    <w:rPr>
      <w:rFonts w:ascii="StarSymbol" w:eastAsia="StarSymbol" w:hAnsi="StarSymbol" w:cs="StarSymbol"/>
      <w:sz w:val="18"/>
      <w:szCs w:val="18"/>
    </w:rPr>
  </w:style>
  <w:style w:type="character" w:customStyle="1" w:styleId="RTFNum23">
    <w:name w:val="RTF_Num 2 3"/>
    <w:rPr>
      <w:rFonts w:ascii="StarSymbol" w:eastAsia="StarSymbol" w:hAnsi="StarSymbol" w:cs="StarSymbol"/>
      <w:sz w:val="18"/>
      <w:szCs w:val="18"/>
    </w:rPr>
  </w:style>
  <w:style w:type="character" w:customStyle="1" w:styleId="RTFNum24">
    <w:name w:val="RTF_Num 2 4"/>
    <w:rPr>
      <w:rFonts w:ascii="StarSymbol" w:eastAsia="StarSymbol" w:hAnsi="StarSymbol" w:cs="StarSymbol"/>
      <w:sz w:val="18"/>
      <w:szCs w:val="18"/>
    </w:rPr>
  </w:style>
  <w:style w:type="character" w:customStyle="1" w:styleId="RTFNum25">
    <w:name w:val="RTF_Num 2 5"/>
    <w:rPr>
      <w:rFonts w:ascii="StarSymbol" w:eastAsia="StarSymbol" w:hAnsi="StarSymbol" w:cs="StarSymbol"/>
      <w:sz w:val="18"/>
      <w:szCs w:val="18"/>
    </w:rPr>
  </w:style>
  <w:style w:type="character" w:customStyle="1" w:styleId="RTFNum26">
    <w:name w:val="RTF_Num 2 6"/>
    <w:rPr>
      <w:rFonts w:ascii="StarSymbol" w:eastAsia="StarSymbol" w:hAnsi="StarSymbol" w:cs="StarSymbol"/>
      <w:sz w:val="18"/>
      <w:szCs w:val="18"/>
    </w:rPr>
  </w:style>
  <w:style w:type="character" w:customStyle="1" w:styleId="RTFNum27">
    <w:name w:val="RTF_Num 2 7"/>
    <w:rPr>
      <w:rFonts w:ascii="StarSymbol" w:eastAsia="StarSymbol" w:hAnsi="StarSymbol" w:cs="StarSymbol"/>
      <w:sz w:val="18"/>
      <w:szCs w:val="18"/>
    </w:rPr>
  </w:style>
  <w:style w:type="character" w:customStyle="1" w:styleId="RTFNum28">
    <w:name w:val="RTF_Num 2 8"/>
    <w:rPr>
      <w:rFonts w:ascii="StarSymbol" w:eastAsia="StarSymbol" w:hAnsi="StarSymbol" w:cs="StarSymbol"/>
      <w:sz w:val="18"/>
      <w:szCs w:val="18"/>
    </w:rPr>
  </w:style>
  <w:style w:type="character" w:customStyle="1" w:styleId="RTFNum29">
    <w:name w:val="RTF_Num 2 9"/>
    <w:rPr>
      <w:rFonts w:ascii="StarSymbol" w:eastAsia="StarSymbol" w:hAnsi="StarSymbol" w:cs="StarSymbol"/>
      <w:sz w:val="18"/>
      <w:szCs w:val="18"/>
    </w:rPr>
  </w:style>
  <w:style w:type="character" w:customStyle="1" w:styleId="RTFNum210">
    <w:name w:val="RTF_Num 2 10"/>
    <w:rPr>
      <w:rFonts w:ascii="StarSymbol" w:eastAsia="StarSymbol" w:hAnsi="StarSymbol" w:cs="StarSymbol"/>
      <w:sz w:val="18"/>
      <w:szCs w:val="18"/>
    </w:rPr>
  </w:style>
  <w:style w:type="character" w:customStyle="1" w:styleId="RTFNum31">
    <w:name w:val="RTF_Num 3 1"/>
    <w:rPr>
      <w:rFonts w:ascii="StarSymbol" w:eastAsia="StarSymbol" w:hAnsi="StarSymbol" w:cs="StarSymbol"/>
      <w:sz w:val="18"/>
      <w:szCs w:val="18"/>
    </w:rPr>
  </w:style>
  <w:style w:type="character" w:customStyle="1" w:styleId="RTFNum32">
    <w:name w:val="RTF_Num 3 2"/>
    <w:rPr>
      <w:rFonts w:ascii="StarSymbol" w:eastAsia="StarSymbol" w:hAnsi="StarSymbol" w:cs="StarSymbol"/>
      <w:sz w:val="18"/>
      <w:szCs w:val="18"/>
    </w:rPr>
  </w:style>
  <w:style w:type="character" w:customStyle="1" w:styleId="RTFNum33">
    <w:name w:val="RTF_Num 3 3"/>
    <w:rPr>
      <w:rFonts w:ascii="StarSymbol" w:eastAsia="StarSymbol" w:hAnsi="StarSymbol" w:cs="StarSymbol"/>
      <w:sz w:val="18"/>
      <w:szCs w:val="18"/>
    </w:rPr>
  </w:style>
  <w:style w:type="character" w:customStyle="1" w:styleId="RTFNum34">
    <w:name w:val="RTF_Num 3 4"/>
    <w:rPr>
      <w:rFonts w:ascii="StarSymbol" w:eastAsia="StarSymbol" w:hAnsi="StarSymbol" w:cs="StarSymbol"/>
      <w:sz w:val="18"/>
      <w:szCs w:val="18"/>
    </w:rPr>
  </w:style>
  <w:style w:type="character" w:customStyle="1" w:styleId="RTFNum35">
    <w:name w:val="RTF_Num 3 5"/>
    <w:rPr>
      <w:rFonts w:ascii="StarSymbol" w:eastAsia="StarSymbol" w:hAnsi="StarSymbol" w:cs="StarSymbol"/>
      <w:sz w:val="18"/>
      <w:szCs w:val="18"/>
    </w:rPr>
  </w:style>
  <w:style w:type="character" w:customStyle="1" w:styleId="RTFNum36">
    <w:name w:val="RTF_Num 3 6"/>
    <w:rPr>
      <w:rFonts w:ascii="StarSymbol" w:eastAsia="StarSymbol" w:hAnsi="StarSymbol" w:cs="StarSymbol"/>
      <w:sz w:val="18"/>
      <w:szCs w:val="18"/>
    </w:rPr>
  </w:style>
  <w:style w:type="character" w:customStyle="1" w:styleId="RTFNum37">
    <w:name w:val="RTF_Num 3 7"/>
    <w:rPr>
      <w:rFonts w:ascii="StarSymbol" w:eastAsia="StarSymbol" w:hAnsi="StarSymbol" w:cs="StarSymbol"/>
      <w:sz w:val="18"/>
      <w:szCs w:val="18"/>
    </w:rPr>
  </w:style>
  <w:style w:type="character" w:customStyle="1" w:styleId="RTFNum38">
    <w:name w:val="RTF_Num 3 8"/>
    <w:rPr>
      <w:rFonts w:ascii="StarSymbol" w:eastAsia="StarSymbol" w:hAnsi="StarSymbol" w:cs="StarSymbol"/>
      <w:sz w:val="18"/>
      <w:szCs w:val="18"/>
    </w:rPr>
  </w:style>
  <w:style w:type="character" w:customStyle="1" w:styleId="RTFNum39">
    <w:name w:val="RTF_Num 3 9"/>
    <w:rPr>
      <w:rFonts w:ascii="StarSymbol" w:eastAsia="StarSymbol" w:hAnsi="StarSymbol" w:cs="StarSymbol"/>
      <w:sz w:val="18"/>
      <w:szCs w:val="18"/>
    </w:rPr>
  </w:style>
  <w:style w:type="character" w:customStyle="1" w:styleId="RTFNum310">
    <w:name w:val="RTF_Num 3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3"/>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3"/>
      </w:numPr>
      <w:outlineLvl w:val="1"/>
    </w:pPr>
    <w:rPr>
      <w:rFonts w:ascii="Liberation Serif" w:eastAsia="DejaVu Sans" w:hAnsi="Liberation Serif" w:cs="Liberation Serif"/>
      <w:b/>
      <w:bCs/>
      <w:sz w:val="36"/>
      <w:szCs w:val="36"/>
    </w:rPr>
  </w:style>
  <w:style w:type="paragraph" w:customStyle="1" w:styleId="31">
    <w:name w:val="Заголовок 31"/>
    <w:basedOn w:val="Heading"/>
    <w:next w:val="a3"/>
    <w:pPr>
      <w:numPr>
        <w:ilvl w:val="2"/>
        <w:numId w:val="3"/>
      </w:numPr>
      <w:outlineLvl w:val="2"/>
    </w:pPr>
    <w:rPr>
      <w:rFonts w:ascii="Liberation Serif" w:eastAsia="DejaVu Sans" w:hAnsi="Liberation Serif" w:cs="Liberation Serif"/>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1267</Words>
  <Characters>7227</Characters>
  <Application>Microsoft Office Word</Application>
  <DocSecurity>0</DocSecurity>
  <Lines>60</Lines>
  <Paragraphs>16</Paragraphs>
  <ScaleCrop>false</ScaleCrop>
  <Company>diakov.net</Company>
  <LinksUpToDate>false</LinksUpToDate>
  <CharactersWithSpaces>8478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2014-07-12T20:16:00Z</dcterms:created>
  <dcterms:modified xsi:type="dcterms:W3CDTF">2014-07-12T20:16:00Z</dcterms:modified>
</cp:coreProperties>
</file>