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F8" w:rsidRDefault="00BF28F8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FB6398" w:rsidRDefault="00435996" w:rsidP="00FB6398">
      <w:pPr>
        <w:spacing w:line="240" w:lineRule="auto"/>
        <w:jc w:val="center"/>
        <w:rPr>
          <w:rFonts w:ascii="Times New Roman" w:hAnsi="Times New Roman" w:cs="Times New Roman"/>
          <w:spacing w:val="30"/>
          <w:sz w:val="36"/>
          <w:szCs w:val="36"/>
        </w:rPr>
      </w:pPr>
      <w:r w:rsidRPr="00FB6398">
        <w:rPr>
          <w:rFonts w:ascii="Times New Roman" w:hAnsi="Times New Roman" w:cs="Times New Roman"/>
          <w:spacing w:val="30"/>
          <w:sz w:val="36"/>
          <w:szCs w:val="36"/>
        </w:rPr>
        <w:t>Курсовая работа на тему:</w:t>
      </w:r>
    </w:p>
    <w:p w:rsidR="00435996" w:rsidRPr="00FB6398" w:rsidRDefault="00435996" w:rsidP="00FB6398">
      <w:pPr>
        <w:spacing w:line="240" w:lineRule="auto"/>
        <w:jc w:val="center"/>
        <w:rPr>
          <w:rFonts w:ascii="Times New Roman" w:hAnsi="Times New Roman" w:cs="Times New Roman"/>
          <w:spacing w:val="30"/>
          <w:sz w:val="44"/>
          <w:szCs w:val="44"/>
        </w:rPr>
      </w:pPr>
    </w:p>
    <w:p w:rsidR="00435996" w:rsidRPr="00FB6398" w:rsidRDefault="00435996" w:rsidP="00FB6398">
      <w:pPr>
        <w:spacing w:line="240" w:lineRule="auto"/>
        <w:jc w:val="center"/>
        <w:rPr>
          <w:rFonts w:ascii="Times New Roman" w:hAnsi="Times New Roman" w:cs="Times New Roman"/>
          <w:spacing w:val="30"/>
          <w:sz w:val="44"/>
          <w:szCs w:val="44"/>
        </w:rPr>
      </w:pPr>
      <w:r w:rsidRPr="00FB6398">
        <w:rPr>
          <w:rFonts w:ascii="Times New Roman" w:hAnsi="Times New Roman" w:cs="Times New Roman"/>
          <w:spacing w:val="30"/>
          <w:sz w:val="44"/>
          <w:szCs w:val="44"/>
        </w:rPr>
        <w:t>«Выбор оптимального порядка выполнения проектов в логистике на основе индексного метода Гиттинса»</w:t>
      </w: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FB6398">
      <w:pPr>
        <w:spacing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Москва 2010</w:t>
      </w:r>
    </w:p>
    <w:p w:rsidR="00435996" w:rsidRPr="006C2FA4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Содержание:</w:t>
      </w:r>
    </w:p>
    <w:p w:rsidR="00435996" w:rsidRPr="006C2FA4" w:rsidRDefault="00435996" w:rsidP="00FB6398">
      <w:pPr>
        <w:pStyle w:val="1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Введение…………………………………………….…</w:t>
      </w:r>
      <w:r>
        <w:rPr>
          <w:rFonts w:ascii="Times New Roman" w:hAnsi="Times New Roman" w:cs="Times New Roman"/>
          <w:spacing w:val="30"/>
          <w:sz w:val="28"/>
          <w:szCs w:val="28"/>
        </w:rPr>
        <w:t>…..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…</w:t>
      </w:r>
      <w:r>
        <w:rPr>
          <w:rFonts w:ascii="Times New Roman" w:hAnsi="Times New Roman" w:cs="Times New Roman"/>
          <w:spacing w:val="30"/>
          <w:sz w:val="28"/>
          <w:szCs w:val="28"/>
        </w:rPr>
        <w:t>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.2</w:t>
      </w:r>
    </w:p>
    <w:p w:rsidR="00435996" w:rsidRPr="006C2FA4" w:rsidRDefault="00435996" w:rsidP="00FB6398">
      <w:pPr>
        <w:pStyle w:val="1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Критерии принятия инвестиционных решений....</w:t>
      </w:r>
      <w:r>
        <w:rPr>
          <w:rFonts w:ascii="Times New Roman" w:hAnsi="Times New Roman" w:cs="Times New Roman"/>
          <w:spacing w:val="30"/>
          <w:sz w:val="28"/>
          <w:szCs w:val="28"/>
        </w:rPr>
        <w:t>......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3-7</w:t>
      </w:r>
    </w:p>
    <w:p w:rsidR="00435996" w:rsidRPr="006C2FA4" w:rsidRDefault="00435996" w:rsidP="00FB6398">
      <w:pPr>
        <w:pStyle w:val="1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Критерии оценок проектов………………</w:t>
      </w:r>
      <w:r>
        <w:rPr>
          <w:rFonts w:ascii="Times New Roman" w:hAnsi="Times New Roman" w:cs="Times New Roman"/>
          <w:spacing w:val="30"/>
          <w:sz w:val="28"/>
          <w:szCs w:val="28"/>
        </w:rPr>
        <w:t>………..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..</w:t>
      </w:r>
      <w:r>
        <w:rPr>
          <w:rFonts w:ascii="Times New Roman" w:hAnsi="Times New Roman" w:cs="Times New Roman"/>
          <w:spacing w:val="30"/>
          <w:sz w:val="28"/>
          <w:szCs w:val="28"/>
        </w:rPr>
        <w:t>4-5</w:t>
      </w:r>
    </w:p>
    <w:p w:rsidR="00435996" w:rsidRPr="006C2FA4" w:rsidRDefault="00435996" w:rsidP="00FB6398">
      <w:pPr>
        <w:pStyle w:val="1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Правила принятия инвестиционных решений</w:t>
      </w:r>
      <w:r>
        <w:rPr>
          <w:rFonts w:ascii="Times New Roman" w:hAnsi="Times New Roman" w:cs="Times New Roman"/>
          <w:spacing w:val="30"/>
          <w:sz w:val="28"/>
          <w:szCs w:val="28"/>
        </w:rPr>
        <w:t>…..5-7</w:t>
      </w:r>
    </w:p>
    <w:p w:rsidR="00435996" w:rsidRPr="006C2FA4" w:rsidRDefault="00435996" w:rsidP="0015746F">
      <w:pPr>
        <w:pStyle w:val="1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Индексные правила и принятие экономических решений………………</w:t>
      </w:r>
      <w:r>
        <w:rPr>
          <w:rFonts w:ascii="Times New Roman" w:hAnsi="Times New Roman" w:cs="Times New Roman"/>
          <w:spacing w:val="30"/>
          <w:sz w:val="28"/>
          <w:szCs w:val="28"/>
        </w:rPr>
        <w:t>…………………………………....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.7-11</w:t>
      </w:r>
    </w:p>
    <w:p w:rsidR="00435996" w:rsidRPr="006C2FA4" w:rsidRDefault="00435996" w:rsidP="0015746F">
      <w:pPr>
        <w:pStyle w:val="1"/>
        <w:numPr>
          <w:ilvl w:val="1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Основные особенности модели</w:t>
      </w:r>
      <w:r>
        <w:rPr>
          <w:rFonts w:ascii="Times New Roman" w:hAnsi="Times New Roman" w:cs="Times New Roman"/>
          <w:spacing w:val="30"/>
          <w:sz w:val="28"/>
          <w:szCs w:val="28"/>
        </w:rPr>
        <w:t>………………..…..7-8</w:t>
      </w:r>
    </w:p>
    <w:p w:rsidR="00435996" w:rsidRPr="006C2FA4" w:rsidRDefault="00435996" w:rsidP="00746564">
      <w:pPr>
        <w:pStyle w:val="1"/>
        <w:numPr>
          <w:ilvl w:val="1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Метод индексов Гиттинса…</w:t>
      </w:r>
      <w:r>
        <w:rPr>
          <w:rFonts w:ascii="Times New Roman" w:hAnsi="Times New Roman" w:cs="Times New Roman"/>
          <w:spacing w:val="30"/>
          <w:sz w:val="28"/>
          <w:szCs w:val="28"/>
        </w:rPr>
        <w:t>……………………...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8-1</w:t>
      </w:r>
      <w:r>
        <w:rPr>
          <w:rFonts w:ascii="Times New Roman" w:hAnsi="Times New Roman" w:cs="Times New Roman"/>
          <w:spacing w:val="30"/>
          <w:sz w:val="28"/>
          <w:szCs w:val="28"/>
        </w:rPr>
        <w:t>1</w:t>
      </w:r>
    </w:p>
    <w:p w:rsidR="00435996" w:rsidRPr="006C2FA4" w:rsidRDefault="00435996" w:rsidP="00746564">
      <w:pPr>
        <w:pStyle w:val="1"/>
        <w:numPr>
          <w:ilvl w:val="2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 xml:space="preserve"> История …</w:t>
      </w:r>
      <w:r>
        <w:rPr>
          <w:rFonts w:ascii="Times New Roman" w:hAnsi="Times New Roman" w:cs="Times New Roman"/>
          <w:spacing w:val="30"/>
          <w:sz w:val="28"/>
          <w:szCs w:val="28"/>
        </w:rPr>
        <w:t>………………………………….…….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.</w:t>
      </w:r>
      <w:r>
        <w:rPr>
          <w:rFonts w:ascii="Times New Roman" w:hAnsi="Times New Roman" w:cs="Times New Roman"/>
          <w:spacing w:val="30"/>
          <w:sz w:val="28"/>
          <w:szCs w:val="28"/>
        </w:rPr>
        <w:t>8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-</w:t>
      </w:r>
      <w:r>
        <w:rPr>
          <w:rFonts w:ascii="Times New Roman" w:hAnsi="Times New Roman" w:cs="Times New Roman"/>
          <w:spacing w:val="30"/>
          <w:sz w:val="28"/>
          <w:szCs w:val="28"/>
        </w:rPr>
        <w:t>9</w:t>
      </w:r>
    </w:p>
    <w:p w:rsidR="00435996" w:rsidRPr="006C2FA4" w:rsidRDefault="00435996" w:rsidP="00746564">
      <w:pPr>
        <w:pStyle w:val="1"/>
        <w:numPr>
          <w:ilvl w:val="2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 xml:space="preserve"> Определение и экономическая интерпретация…</w:t>
      </w:r>
      <w:r>
        <w:rPr>
          <w:rFonts w:ascii="Times New Roman" w:hAnsi="Times New Roman" w:cs="Times New Roman"/>
          <w:spacing w:val="30"/>
          <w:sz w:val="28"/>
          <w:szCs w:val="28"/>
        </w:rPr>
        <w:t>…………………………….….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..</w:t>
      </w:r>
      <w:r>
        <w:rPr>
          <w:rFonts w:ascii="Times New Roman" w:hAnsi="Times New Roman" w:cs="Times New Roman"/>
          <w:spacing w:val="30"/>
          <w:sz w:val="28"/>
          <w:szCs w:val="28"/>
        </w:rPr>
        <w:t>...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9</w:t>
      </w:r>
    </w:p>
    <w:p w:rsidR="00435996" w:rsidRPr="006C2FA4" w:rsidRDefault="00435996" w:rsidP="00746564">
      <w:pPr>
        <w:pStyle w:val="1"/>
        <w:numPr>
          <w:ilvl w:val="2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Условные моменты остановки…</w:t>
      </w: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w:t>…………...</w:t>
      </w: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.9-10</w:t>
      </w:r>
    </w:p>
    <w:p w:rsidR="00435996" w:rsidRPr="006C2FA4" w:rsidRDefault="00435996" w:rsidP="006C2FA4">
      <w:pPr>
        <w:pStyle w:val="1"/>
        <w:numPr>
          <w:ilvl w:val="2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Основные свойства</w:t>
      </w: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w:t>………………………….…</w:t>
      </w: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10-11</w:t>
      </w:r>
    </w:p>
    <w:p w:rsidR="00435996" w:rsidRPr="006C2FA4" w:rsidRDefault="00435996" w:rsidP="006C2FA4">
      <w:pPr>
        <w:pStyle w:val="1"/>
        <w:numPr>
          <w:ilvl w:val="2"/>
          <w:numId w:val="8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>Дополнительное упрощающее правило</w:t>
      </w:r>
      <w:r>
        <w:rPr>
          <w:rFonts w:ascii="Times New Roman" w:hAnsi="Times New Roman" w:cs="Times New Roman"/>
          <w:spacing w:val="30"/>
          <w:sz w:val="28"/>
          <w:szCs w:val="28"/>
        </w:rPr>
        <w:t>….…...</w:t>
      </w:r>
      <w:r w:rsidRPr="006C2FA4">
        <w:rPr>
          <w:rFonts w:ascii="Times New Roman" w:hAnsi="Times New Roman" w:cs="Times New Roman"/>
          <w:spacing w:val="30"/>
          <w:sz w:val="28"/>
          <w:szCs w:val="28"/>
        </w:rPr>
        <w:t>.11</w:t>
      </w:r>
    </w:p>
    <w:p w:rsidR="00435996" w:rsidRPr="006C2FA4" w:rsidRDefault="00435996" w:rsidP="006C2FA4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</w:rPr>
        <w:t xml:space="preserve">4. </w:t>
      </w: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Чистая приведенная стоимость(NPV)…</w:t>
      </w: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w:t>…………….…</w:t>
      </w: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11-14</w:t>
      </w:r>
    </w:p>
    <w:p w:rsidR="00435996" w:rsidRPr="006C2FA4" w:rsidRDefault="00435996" w:rsidP="006C2FA4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5. Рассмотрение примера……</w:t>
      </w: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w:t>………………………..……..</w:t>
      </w: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14-19</w:t>
      </w:r>
    </w:p>
    <w:p w:rsidR="00435996" w:rsidRPr="006C2FA4" w:rsidRDefault="00435996" w:rsidP="006C2FA4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6. Список литературы…</w:t>
      </w:r>
      <w:r>
        <w:rPr>
          <w:rFonts w:ascii="Times New Roman" w:hAnsi="Times New Roman" w:cs="Times New Roman"/>
          <w:spacing w:val="30"/>
          <w:sz w:val="28"/>
          <w:szCs w:val="28"/>
          <w:lang w:eastAsia="ru-RU"/>
        </w:rPr>
        <w:t>…………………………………..….…</w:t>
      </w:r>
      <w:r w:rsidRPr="006C2FA4">
        <w:rPr>
          <w:rFonts w:ascii="Times New Roman" w:hAnsi="Times New Roman" w:cs="Times New Roman"/>
          <w:spacing w:val="30"/>
          <w:sz w:val="28"/>
          <w:szCs w:val="28"/>
          <w:lang w:eastAsia="ru-RU"/>
        </w:rPr>
        <w:t>.20</w:t>
      </w:r>
    </w:p>
    <w:p w:rsidR="00435996" w:rsidRPr="0040074E" w:rsidRDefault="00435996" w:rsidP="006C2FA4">
      <w:pPr>
        <w:spacing w:after="100" w:afterAutospacing="1"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  <w:lang w:eastAsia="ru-RU"/>
        </w:rPr>
      </w:pPr>
    </w:p>
    <w:p w:rsidR="00435996" w:rsidRPr="0015746F" w:rsidRDefault="00435996" w:rsidP="0015746F">
      <w:pPr>
        <w:spacing w:after="100" w:afterAutospacing="1" w:line="240" w:lineRule="auto"/>
        <w:ind w:left="720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35996" w:rsidRDefault="00435996" w:rsidP="006C2FA4">
      <w:pPr>
        <w:pStyle w:val="1"/>
        <w:spacing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35996" w:rsidRPr="006C2FA4" w:rsidRDefault="00435996" w:rsidP="006C2FA4">
      <w:pPr>
        <w:pStyle w:val="1"/>
        <w:spacing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b/>
          <w:bCs/>
          <w:spacing w:val="30"/>
          <w:sz w:val="28"/>
          <w:szCs w:val="28"/>
        </w:rPr>
        <w:t>Введение</w:t>
      </w: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Инвестиционная деятельность является одним из самых важных аспектов в функционировании коммерческой организации. Необходимость инвестиций может быть обусловлена различными причинами, такими как наращивание объемов производства, освоение новых видов деятельности или обновление материально технической базы. </w:t>
      </w: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При планировании и осуществлении инвестиционной деятельности необходимо использовать экономический анализ. Для принятия эффективных и обоснованных управленческих решений следует использовать предварительный анализ на стадии разработки проекта. Принятие подобных решений зачастую связанно с высокой степенью неопределенности. Очевидно, что критериев при принятии решения будет несколько, а вероятность того, что один из проектов будет предпочтительнее остальных по всем критериям, будет намного меньше единицы. Принятие решений основываются на использовании различных формализованных и неформализованных методов. В отечественной и зарубежной практике существует множество формализованных методов и расчетов, которые могут лечь в основу, при принятии решения, в области инвестирования. Стандартного универсального метода, пригодного во всех случаях, не существует. Несмотря на это, получив некоторые оценки, при использовании формальных методов, принятие решения станет намного легче.  </w:t>
      </w:r>
    </w:p>
    <w:p w:rsidR="00435996" w:rsidRPr="000116CF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>Часто предприятие сталкивается с ситуацией, когда имеется ряд взаимоисключающих проектов. Тогда возникает необходимость сравнить эти проекты и выбрать наиболее перспективный.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435996" w:rsidRPr="000116CF" w:rsidRDefault="00435996" w:rsidP="000116CF">
      <w:pPr>
        <w:spacing w:after="0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i/>
          <w:iCs/>
          <w:spacing w:val="30"/>
          <w:sz w:val="28"/>
          <w:szCs w:val="28"/>
        </w:rPr>
        <w:t>В работе будут рассмотрены следующие вопросы:</w:t>
      </w:r>
    </w:p>
    <w:p w:rsidR="00435996" w:rsidRPr="000116CF" w:rsidRDefault="00435996" w:rsidP="000116CF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Критерии и правила принятия инвестиционных решений</w:t>
      </w:r>
    </w:p>
    <w:p w:rsidR="00435996" w:rsidRPr="000116CF" w:rsidRDefault="00435996" w:rsidP="000116CF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Индексные правила для принятие экономических решений (Индекс Гитиинса)</w:t>
      </w:r>
    </w:p>
    <w:p w:rsidR="00435996" w:rsidRPr="000116CF" w:rsidRDefault="00435996" w:rsidP="000116CF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Метод чистой приведенной стоимости</w:t>
      </w:r>
    </w:p>
    <w:p w:rsidR="00435996" w:rsidRPr="000116CF" w:rsidRDefault="00435996" w:rsidP="000116CF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Сравнение результатов полученных при использовании индексного метода Гиттинса и метода чистой приведенной стоимости</w:t>
      </w: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18367A">
      <w:pPr>
        <w:spacing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b/>
          <w:bCs/>
          <w:spacing w:val="30"/>
          <w:sz w:val="28"/>
          <w:szCs w:val="28"/>
        </w:rPr>
        <w:t>Критерии принятия инвестиционных решений:</w: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1) критерии для оценки реальности проекта: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нормативные критерии (правовые) т.е. нормы национального, международного права, требования стандартов, конвенций, патентоспособности и др.;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а) ресурсные критерии, по видам: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- научно-технические критерии;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- технологические критерии;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- производственные критерии;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- объем и источники финансовых ресурсов.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2)  количественные  критерии для оценки целесообразности реализации проекта.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а) Соответствие  цели  проекта  на  длительную  перспективу  целям  развития деловой среды;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б) Риски и финансовые последствия ( ведут ли они дополнения к инвестиционным издержкам или снижения ожидаемого объема производства, цены или продаж );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в) Степень устойчивости проекта;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г) Вероятность проектирования сценария и состояние деловой среды.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3) количественные  критерии.  (финансово-экономические),  позволяющие выбрать  из  тех  проектов  ,  реализация   которых   целесообразна.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а) стоимость проекта;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б) чистая текущая стоимость;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в) прибыль;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г) рентабельность;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д) внутренняя норма прибыли;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е) период окупаемости;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ж) чувствительность прибыли к горизонту (сроку) планирования, к изменениям в деловой среде, к ошибке в оценке данных.</w:t>
      </w:r>
    </w:p>
    <w:p w:rsidR="00435996" w:rsidRPr="00202A22" w:rsidRDefault="00435996" w:rsidP="0040074E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В целом, принятие инвестиционного решения  требует  совместной  работы многих людей с разной квалификацией и различными  взглядами  на  инвестиции. Тем не менее, последнее слово остается  за  финансовым  менеджером,  который придерживается некоторым правилам.</w:t>
      </w:r>
    </w:p>
    <w:p w:rsidR="00435996" w:rsidRPr="0040074E" w:rsidRDefault="00435996" w:rsidP="0040074E">
      <w:pPr>
        <w:spacing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</w:rPr>
        <w:t xml:space="preserve"> Правила принятия инвестиционных решений: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1. инвестировать денежные средства в производство или  ценные  бумаги  имеет  смысл только, если можно получить чистую прибыль выше,  чем  от  хранения  денег в банке;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2.  инвестировать  средства  имеет  смысл,  только  если, рентабельности инвестиции превышают темпы роста инфляции;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3. инвестировать  имеет  смысл  только  в  наиболее  рентабельные  с  учетом дисконтирования проекты.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Таким образом, решение об инвестировании в проект принимается, если он удовлетворяет следующим критериям: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дешевизна проекта;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минимизация риска инфляционных потерь;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краткость срока окупаемости;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стабильность или концентрация поступлений;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высокая рентабельность как таковая и после дисконтирования;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отсутствие более выгодных альтернатив.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   На практике выбираются  проекты  не  столько  наиболее  прибыльные  и наименее рискованные, сколько лучше всего вписывающиеся в стратегию фирмы.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Основные критерии при анализе инвестиционной деятельности делят на 2 группы в зависимости от того, учитывают или нет временной параметр: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1) основанные на дисконтированных оценках ("динамические" методы):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 Чистая приведенная стоимость - NPV (Net Present Value);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 Индекс рентабельности инвестиций - PI (Profitability Index);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- 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Внутренняя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норма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прибыли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- IRR (Internal Rate of Return);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-  Модифицированная внутренняя норма прибыли- MIRR (Modified  Internal  Rate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of Return);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 Дисконтированный срок окупаемости инвестиций -  DPP  (Discounted  Payback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Period).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  2) основанные на учетных оценках ("статистические" методы):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-  Срок окупаемости инвестиций - PP (Payback Period);</w:t>
      </w:r>
    </w:p>
    <w:p w:rsidR="00435996" w:rsidRPr="000116CF" w:rsidRDefault="00435996" w:rsidP="000116CF">
      <w:pPr>
        <w:spacing w:after="100" w:afterAutospacing="1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- 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Коэффициент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эффективности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инвестиций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- ARR (Accounted Rate of Return).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Для оценки финансовой эффективности проекта целесообразно применять «динамические методы»; они, в основном, основаны на дисконтировании денежных потоков, образующихся в ходе реализации проекта. Дисконтирование позволяет отразить принцип «завтрашние деньги дешевле сегодняшних» и учесть возможность альтернативных вложений по ставке дисконта. Схема всех динамических альтернативных методов оценки эффективности одинакова, т.к. основывается на прогнозировании положительных и отрицательных денежных потоков на плановый период и сопоставлении полученного сальдо денежных потоков, дисконтированного по соответствующей ставке, с инвестиционными затратами.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В работе будет рассмотрено принятие решений по реализации проектов в логистической подсистеме на основе использования «динамического метода» (оценка чистой приведенной стоимости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>), а также на основе индексных правил (метод индекса Гиттинса).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b/>
          <w:bCs/>
          <w:spacing w:val="30"/>
          <w:sz w:val="28"/>
          <w:szCs w:val="28"/>
        </w:rPr>
        <w:t>Индексные правила и принятие экономических решений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Основная задача ставится как оптимальное реконструирование последовательностей доходов относительно модели, которая предполагает реализацию некоторых заданных мероприятий или проектов логистической подсистемы.</w:t>
      </w:r>
    </w:p>
    <w:p w:rsidR="00435996" w:rsidRPr="00202A22" w:rsidRDefault="00435996" w:rsidP="000116CF">
      <w:pPr>
        <w:spacing w:after="100" w:afterAutospacing="1" w:line="240" w:lineRule="auto"/>
        <w:rPr>
          <w:rFonts w:ascii="Times New Roman" w:hAnsi="Times New Roman" w:cs="Times New Roman"/>
          <w:color w:val="FF0000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Наш интерес в данном анализе заключается в максимизации ожидаемого суммарного дохода по заданным реализуемым мероприятиям. 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Основные особенности модели: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Проекты представлены разбитыми на стадии, при реализации которых мы получаем некоторый доход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Для всех проектов все стадии имеют одинаковую длину . В случае, если длина стадий не одинакова, то следует выбрать базовую длину, которая укладывается в каждую стадию проектов целое количество раз. Таким образом стадия разобьется на подстадии с базовой длиной, их доход будет равен нулю, за исключением последней. Доход последней подстадии будет соответствовать доходу от реализации стадии, которая была разбита. 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Коэффициент дисконтирования приводится к базовой длине стадии, если базовая длина стадии составляет 6 месяцев, то коэффициент равен   1   2   его ставки в годовых процентах, и так далее;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Все доходы от реализации стадий проектов приведены к одной и той же сумме, чаще всего к размеру инвестиций, другими словами , доход от какой-либо стадии, равный 20 млн.руб., и доход от другой, равный 15 млн.руб., приходятся на одну и ту же сумму капитальных вложений, например 100млн.руб.; реализация какой-либо стадии может потребовать большего количества средств, в этом случае инвестор может взять ссуду или кредит, тогда доход от реализации стадии инвестиционного проекта  рассчитывается на долю его участия.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Порядок реализации стадий жестко фиксирован, т.е. нельзя приступить к какой-либо стадии не окончив предыдущие. Такой порядок обусловлен как правилом – нельзя построить здание, на заложив фундамент,  -  так и экономической целесообразностью – реализация каждой последующей стадии приносит меньший приведенный доход при прочих равных условиях, - и другими факторами.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Инвестор свободен в выборе следующей стадии, т.е. может выбрать продолжать ли реализацию данного проекта или перейти к следующему, при переходе отсутствуют штрафы либо пени.</w:t>
      </w:r>
    </w:p>
    <w:p w:rsidR="00435996" w:rsidRPr="000116CF" w:rsidRDefault="00435996" w:rsidP="000116CF">
      <w:pPr>
        <w:pStyle w:val="1"/>
        <w:numPr>
          <w:ilvl w:val="0"/>
          <w:numId w:val="2"/>
        </w:numPr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Инвестору необходимо максимизировать ожидаемый приведенный доход от проектов.</w:t>
      </w:r>
    </w:p>
    <w:p w:rsidR="00435996" w:rsidRPr="000116CF" w:rsidRDefault="00435996" w:rsidP="000116CF">
      <w:pPr>
        <w:pStyle w:val="1"/>
        <w:spacing w:after="100" w:afterAutospacing="1"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В данной ситуации лучшим методом для нахождения оптимального решения является метод Гиттинса.</w:t>
      </w:r>
    </w:p>
    <w:p w:rsidR="00435996" w:rsidRPr="00202A22" w:rsidRDefault="00435996" w:rsidP="000116CF">
      <w:pPr>
        <w:pStyle w:val="1"/>
        <w:spacing w:after="100" w:afterAutospacing="1" w:line="240" w:lineRule="auto"/>
        <w:ind w:left="709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435996" w:rsidRPr="000116CF" w:rsidRDefault="00435996" w:rsidP="000116CF">
      <w:pPr>
        <w:pStyle w:val="1"/>
        <w:spacing w:after="100" w:afterAutospacing="1" w:line="240" w:lineRule="auto"/>
        <w:ind w:left="709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b/>
          <w:bCs/>
          <w:spacing w:val="30"/>
          <w:sz w:val="28"/>
          <w:szCs w:val="28"/>
        </w:rPr>
        <w:t>Метод индексов Гиттинса</w:t>
      </w:r>
    </w:p>
    <w:p w:rsidR="00435996" w:rsidRPr="000116CF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Рассмотрим общую не Марковскую формулировку динамического распределения (либо "многорукого-бандита") проблем в дискретном времени: существуют D-независимые "проекты" (или "руки") только один из которых может быть вовлечен в данное время, в то время как остальные остаются "замороженными". Вовлекая проект мы получаем определенное случайное вознаграждение, зависящее от времени и истории вовлекаемого проекта. Целью является максимизация общего ожидаемого дисконтированного вознаграждения за "infinite horizon". Как же оптимально составить график вовлечения различных "рук"?</w:t>
      </w:r>
    </w:p>
    <w:p w:rsidR="00435996" w:rsidRPr="000116CF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ab/>
        <w:t>Подобного рода вопросы являлись открытыми на протяжении длительного периода времени, как минимум с 1940х, пока Гиттинс и его соратники не внесли фундаментальный вклад в 1970х, что привело к реальному прорыву. Работая в Марковской рамке эволюции заданных независимых проектов, Гиттинс продемонстрировал, что это возможно приписать каждому проекту определенный индекс для его доходности, исчислимый только в рамках динамики проекта и вовлекать проект с максимальным индексом.  Виттл предоставил элегантные глубокие и математически четкие демонстрации оптимальности правила Гиттинса; работа Виттла была позднее дополнена работой Цициклиса.</w:t>
      </w:r>
    </w:p>
    <w:p w:rsidR="00435996" w:rsidRPr="000116CF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ab/>
        <w:t>Эта работа была расширена до общей не Марковской рамки Варайей и Мандлбаумом, которые также предоставили формулировку вопроса как контрольные проблемы с временным параметром в многомерном частично упорядоченном наборе. Аргументы и доказательства в обеих работах, тем не менее, очень длинные и взыскательные.</w:t>
      </w:r>
    </w:p>
    <w:p w:rsidR="00435996" w:rsidRPr="000116CF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</w:rPr>
        <w:t>Индексом Гиттинса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для последовательности доходов называется число, рассчитываемое по формуле:</w:t>
      </w:r>
    </w:p>
    <w:p w:rsidR="00435996" w:rsidRPr="000116CF" w:rsidRDefault="00AB1DC0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44.25pt">
            <v:imagedata r:id="rId7" o:title="" chromakey="white"/>
          </v:shape>
        </w:pict>
      </w:r>
    </w:p>
    <w:p w:rsidR="00435996" w:rsidRPr="000116CF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где,</w:t>
      </w:r>
      <w:r w:rsidRPr="007E4D38">
        <w:rPr>
          <w:rFonts w:ascii="Times New Roman" w:hAnsi="Times New Roman" w:cs="Times New Roman"/>
          <w:spacing w:val="30"/>
          <w:sz w:val="28"/>
          <w:szCs w:val="28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</w:rPr>
        <w:instrText xml:space="preserve"> QUOTE </w:instrText>
      </w:r>
      <w:r w:rsidR="00AB1DC0">
        <w:pict>
          <v:shape id="_x0000_i1026" type="#_x0000_t75" style="width:65.25pt;height:79.5pt">
            <v:imagedata r:id="rId8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</w:rPr>
        <w:fldChar w:fldCharType="separate"/>
      </w:r>
      <w:r w:rsidR="00AB1DC0">
        <w:pict>
          <v:shape id="_x0000_i1027" type="#_x0000_t75" style="width:65.25pt;height:79.5pt">
            <v:imagedata r:id="rId8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 - средний ожидаемый доход от реализации стадии проекта, когда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/>
        </w:rPr>
        <w:t>n</w:t>
      </w: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 предшествующих ей стадий уже реализовано, β – коэффициент дисконтирования.</w:t>
      </w:r>
    </w:p>
    <w:p w:rsidR="00435996" w:rsidRPr="0040074E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</w:rPr>
        <w:t>Экономическая интерпретация</w:t>
      </w:r>
    </w:p>
    <w:p w:rsidR="00435996" w:rsidRPr="0040074E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 xml:space="preserve">Для последовательности доходов индекс Гиттинса показывает наибольший из возможных, средний переоцененный доход за одну единицу переоцененного времени, равную базовой стадии, для фрагментов последовательности, являющихся частью основной последовательности доходов и </w:t>
      </w:r>
      <w:r>
        <w:rPr>
          <w:rFonts w:ascii="Times New Roman" w:hAnsi="Times New Roman" w:cs="Times New Roman"/>
          <w:spacing w:val="30"/>
          <w:sz w:val="28"/>
          <w:szCs w:val="28"/>
        </w:rPr>
        <w:t>начинающихся с первой стадии.</w:t>
      </w:r>
    </w:p>
    <w:p w:rsidR="00435996" w:rsidRPr="0040074E" w:rsidRDefault="00435996" w:rsidP="000116CF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</w:rPr>
        <w:t>Индексное правило заключается в том, что оптимальная стратегия на каждом шаге выбирает стадию и проект, который имеет наибольший индекс Гиттинса.</w: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Условные моменты остановки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Если имеется проект с доходами {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xi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,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i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= 0,1,…} и инвестор намеревается инвестировать фрагмент  {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x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0,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xi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,…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x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28" type="#_x0000_t75" style="width:14.25pt;height:11.25pt">
            <v:imagedata r:id="rId9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29" type="#_x0000_t75" style="width:14.25pt;height:11.25pt">
            <v:imagedata r:id="rId9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}этапов проекта на который приходится наибольшая возможная интенсивность потока доходов, то момент остановки инвестирования он бы выбрал из множества</w:t>
      </w:r>
    </w:p>
    <w:p w:rsidR="00435996" w:rsidRPr="000116CF" w:rsidRDefault="00AB1DC0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</w:pPr>
      <w:r>
        <w:pict>
          <v:shape id="_x0000_i1030" type="#_x0000_t75" style="width:159pt;height:37.5pt">
            <v:imagedata r:id="rId10" o:title="" chromakey="white"/>
          </v:shape>
        </w:pic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Максимальный из элементов указанного выше множества То моментов остановки является </w:t>
      </w: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максимальным моментом остановки.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Другими словами, при конечной последовательности доходов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31" type="#_x0000_t75" style="width:69.75pt;height:18.75pt">
            <v:imagedata r:id="rId11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32" type="#_x0000_t75" style="width:69.75pt;height:18.75pt">
            <v:imagedata r:id="rId11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момент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33" type="#_x0000_t75" style="width:13.5pt;height:11.25pt">
            <v:imagedata r:id="rId12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34" type="#_x0000_t75" style="width:13.5pt;height:11.25pt">
            <v:imagedata r:id="rId12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определяет наибольшую длительность фрагмента вида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35" type="#_x0000_t75" style="width:69pt;height:14.25pt">
            <v:imagedata r:id="rId13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36" type="#_x0000_t75" style="width:69pt;height:14.25pt">
            <v:imagedata r:id="rId13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на котором «генерируется» максимально возможная для всего проекта интенсивность потока доходов.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Максимальный момент остановки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37" type="#_x0000_t75" style="width:15.75pt;height:11.25pt">
            <v:imagedata r:id="rId14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38" type="#_x0000_t75" style="width:15.75pt;height:11.25pt">
            <v:imagedata r:id="rId14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для остатка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39" type="#_x0000_t75" style="width:84pt;height:14.25pt">
            <v:imagedata r:id="rId15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40" type="#_x0000_t75" style="width:84pt;height:14.25pt">
            <v:imagedata r:id="rId15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исходной конечной последовательности после того, как она уже была «выбрана»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раз определяется равенством</w:t>
      </w:r>
    </w:p>
    <w:p w:rsidR="00435996" w:rsidRPr="000116CF" w:rsidRDefault="00AB1DC0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>
        <w:pict>
          <v:shape id="_x0000_i1041" type="#_x0000_t75" style="width:232.5pt;height:37.5pt">
            <v:imagedata r:id="rId16" o:title="" chromakey="white"/>
          </v:shape>
        </w:pic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Т.е. если начальный фрагмент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42" type="#_x0000_t75" style="width:76.5pt;height:14.25pt">
            <v:imagedata r:id="rId17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43" type="#_x0000_t75" style="width:76.5pt;height:14.25pt">
            <v:imagedata r:id="rId17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уже «выбран» из конечной последовательности доходов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44" type="#_x0000_t75" style="width:69.75pt;height:18.75pt">
            <v:imagedata r:id="rId11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45" type="#_x0000_t75" style="width:69.75pt;height:18.75pt">
            <v:imagedata r:id="rId11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, то для остатка последовательности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46" type="#_x0000_t75" style="width:84pt;height:14.25pt">
            <v:imagedata r:id="rId15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47" type="#_x0000_t75" style="width:84pt;height:14.25pt">
            <v:imagedata r:id="rId15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момент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48" type="#_x0000_t75" style="width:21.75pt;height:11.25pt">
            <v:imagedata r:id="rId18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49" type="#_x0000_t75" style="width:21.75pt;height:11.25pt">
            <v:imagedata r:id="rId18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определяет наибольшую длительность фрагментов вида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50" type="#_x0000_t75" style="width:88.5pt;height:17.25pt">
            <v:imagedata r:id="rId19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51" type="#_x0000_t75" style="width:88.5pt;height:17.25pt">
            <v:imagedata r:id="rId19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указанного остатка последовательности, на котором интенсивность потока переоцененных доходов будет максимально возможной.</w: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Основные свойства</w:t>
      </w:r>
    </w:p>
    <w:p w:rsidR="00435996" w:rsidRPr="000116CF" w:rsidRDefault="00435996" w:rsidP="000116CF">
      <w:pPr>
        <w:pStyle w:val="1"/>
        <w:numPr>
          <w:ilvl w:val="0"/>
          <w:numId w:val="6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Каждое отдельное выражение под знаком супремума в определении индекса Гиттинса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Go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,(выражение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Ik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вида</w:t>
      </w:r>
    </w:p>
    <w:p w:rsidR="00435996" w:rsidRPr="000116CF" w:rsidRDefault="00435996" w:rsidP="000116CF">
      <w:pPr>
        <w:pStyle w:val="1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52" type="#_x0000_t75" style="width:402.75pt;height:16.5pt">
            <v:imagedata r:id="rId20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53" type="#_x0000_t75" style="width:402.75pt;height:16.5pt">
            <v:imagedata r:id="rId20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)</w:t>
      </w:r>
    </w:p>
    <w:p w:rsidR="00435996" w:rsidRPr="000116CF" w:rsidRDefault="00435996" w:rsidP="000116CF">
      <w:pPr>
        <w:pStyle w:val="1"/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указывает интенсивность потока доходов на соответствующем начальном фрагменте длительности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k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, т.е. фрагменте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54" type="#_x0000_t75" style="width:75.75pt;height:14.25pt">
            <v:imagedata r:id="rId21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55" type="#_x0000_t75" style="width:75.75pt;height:14.25pt">
            <v:imagedata r:id="rId21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исходной последовательности. Такой фрагмент эквивалентен фрагменту платежей - констант такой же длительности.</w:t>
      </w:r>
    </w:p>
    <w:p w:rsidR="00435996" w:rsidRPr="000116CF" w:rsidRDefault="00435996" w:rsidP="000116CF">
      <w:pPr>
        <w:pStyle w:val="1"/>
        <w:numPr>
          <w:ilvl w:val="0"/>
          <w:numId w:val="6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Для последовательностей – констант индексы Гиттинса равны соответствующей константе, причем для конечной такой последовательности максимальный момент ее остановки равен длине последовательности.</w:t>
      </w:r>
    </w:p>
    <w:p w:rsidR="00435996" w:rsidRPr="000116CF" w:rsidRDefault="00435996" w:rsidP="000116CF">
      <w:pPr>
        <w:pStyle w:val="1"/>
        <w:numPr>
          <w:ilvl w:val="0"/>
          <w:numId w:val="6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Для невозрастающих последовательностей индексы Гиттинса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Gn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равны членам последовательности с соответствующими номерами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Gn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=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Xn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. Для максимальных моментов остановки выполняется: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56" type="#_x0000_t75" style="width:42pt;height:11.25pt">
            <v:imagedata r:id="rId22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57" type="#_x0000_t75" style="width:42pt;height:11.25pt">
            <v:imagedata r:id="rId22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</w:p>
    <w:p w:rsidR="00435996" w:rsidRPr="000116CF" w:rsidRDefault="00435996" w:rsidP="000116CF">
      <w:pPr>
        <w:pStyle w:val="1"/>
        <w:numPr>
          <w:ilvl w:val="0"/>
          <w:numId w:val="6"/>
        </w:num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Для неубывающих конечных последовательностей индексы Гиттинса достигаются на последних выражениях под знаком супремума. При этом, максимальные моменты остановки равны числу членов последовательности, т.е. совпадают с ее длительностью.</w:t>
      </w:r>
    </w:p>
    <w:p w:rsidR="00435996" w:rsidRPr="0040074E" w:rsidRDefault="00435996" w:rsidP="000116CF">
      <w:pPr>
        <w:spacing w:after="100" w:afterAutospacing="1" w:line="240" w:lineRule="auto"/>
        <w:ind w:left="360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Дополнительное упрощающее правило</w:t>
      </w:r>
    </w:p>
    <w:p w:rsidR="00435996" w:rsidRPr="000116CF" w:rsidRDefault="00435996" w:rsidP="000116CF">
      <w:pPr>
        <w:spacing w:after="100" w:afterAutospacing="1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Начальный фрагмент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58" type="#_x0000_t75" style="width:65.25pt;height:14.25pt">
            <v:imagedata r:id="rId23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59" type="#_x0000_t75" style="width:65.25pt;height:14.25pt">
            <v:imagedata r:id="rId23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исходной последовательности называют несущественным, если последний член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Xk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такого фрагмента оказывается меньше, чем значение.</w:t>
      </w:r>
    </w:p>
    <w:p w:rsidR="00435996" w:rsidRPr="000116CF" w:rsidRDefault="00435996" w:rsidP="000116CF">
      <w:pPr>
        <w:spacing w:after="100" w:afterAutospacing="1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Можно не рассматривать такие выражения</w:t>
      </w:r>
    </w:p>
    <w:p w:rsidR="00435996" w:rsidRPr="000116CF" w:rsidRDefault="00AB1DC0" w:rsidP="000116CF">
      <w:pPr>
        <w:spacing w:after="100" w:afterAutospacing="1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>
        <w:pict>
          <v:shape id="_x0000_i1060" type="#_x0000_t75" style="width:297.75pt;height:17.25pt">
            <v:imagedata r:id="rId24" o:title="" chromakey="white"/>
          </v:shape>
        </w:pict>
      </w:r>
    </w:p>
    <w:p w:rsidR="00435996" w:rsidRPr="000116CF" w:rsidRDefault="00435996" w:rsidP="000116CF">
      <w:pPr>
        <w:spacing w:after="100" w:afterAutospacing="1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под знаком супремума в определении индекса Гиттинса числовой последовательности, которым соответствуют несущественные начальные фрагменты </w: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begin"/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QUOTE </w:instrText>
      </w:r>
      <w:r w:rsidR="00AB1DC0">
        <w:pict>
          <v:shape id="_x0000_i1061" type="#_x0000_t75" style="width:65.25pt;height:14.25pt">
            <v:imagedata r:id="rId23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instrText xml:space="preserve"> </w:instrTex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separate"/>
      </w:r>
      <w:r w:rsidR="00AB1DC0">
        <w:pict>
          <v:shape id="_x0000_i1062" type="#_x0000_t75" style="width:65.25pt;height:14.25pt">
            <v:imagedata r:id="rId23" o:title="" chromakey="white"/>
          </v:shape>
        </w:pict>
      </w:r>
      <w:r w:rsidRPr="007E4D38">
        <w:rPr>
          <w:rFonts w:ascii="Times New Roman" w:hAnsi="Times New Roman" w:cs="Times New Roman"/>
          <w:spacing w:val="30"/>
          <w:sz w:val="28"/>
          <w:szCs w:val="28"/>
          <w:lang w:eastAsia="ru-RU"/>
        </w:rPr>
        <w:fldChar w:fldCharType="end"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этой последовательности.</w: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</w:r>
      <w:r w:rsidRPr="0040074E">
        <w:rPr>
          <w:rFonts w:ascii="Times New Roman" w:hAnsi="Times New Roman" w:cs="Times New Roman"/>
          <w:b/>
          <w:bCs/>
          <w:spacing w:val="30"/>
          <w:sz w:val="28"/>
          <w:szCs w:val="28"/>
          <w:lang w:eastAsia="ru-RU"/>
        </w:rPr>
        <w:t>Чистая приведенная стоимость(NPV)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Метод основан на сопоставлении величины исходной инвестиции с общей суммой дисконтированных чистых поступлений, генерируемых ею в течении прогнозируемого  срока. Т.к. поступление денежных средств распределено во времени, то оно дисконтируется с помощью коэффициента r, который самостоятельно устанавливается инвестором исходя из процента возврата, который он хочет или может иметь на инвестируемый капитал.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</w: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 xml:space="preserve">Расчет значения </w:t>
      </w: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предполагает прогноз по каждому году функционирования проекта чистого денежного потока; обоснование ставки дисконтирования, которая обеспечит приведение будущих потоков по годам к текущему моменту. Ставка дисконтирования должна отражать временную стоимость денег, инфляционные ожидания и риск инвестирования в данный проект.</w:t>
      </w:r>
    </w:p>
    <w:p w:rsidR="00435996" w:rsidRPr="0040074E" w:rsidRDefault="00AB1DC0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</w:pPr>
      <w:r>
        <w:pict>
          <v:shape id="_x0000_i1063" type="#_x0000_t75" style="width:145.5pt;height:41.25pt">
            <v:imagedata r:id="rId25" o:title="" chromakey="white"/>
          </v:shape>
        </w:pic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Очевидно, что если: NPV&gt;0, то проект следует принять;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NPV&lt;0, то проект отвергают;</w:t>
      </w:r>
    </w:p>
    <w:p w:rsidR="00435996" w:rsidRPr="00202A22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NPV=0 - проект ни прибыльный, ни убыточный.</w: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При прогнозировании доходов необходимо учитывать все виды поступлений, связанные с проектом. Например, если по окончании периода реализации проекта</w:t>
      </w:r>
      <w:r w:rsidRPr="0040074E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планируется поступление средств в виде ликвидационной стоимости оборудования или высвобождения части оборотных средств, они должны учитываться как доходы соответствующих периодов.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40074E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Правило метода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гласит, что из двух альтернативных проектов с равными инвестиционными затратами выбирается тот, который обеспечивает наибольшее значение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. 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 xml:space="preserve">В практике анализа инвестиционных проектов находят применение два подхода к выбору проектов с неравными сроками: метод продолженного срока и метод эквивалентного ежегодного аннуитета. 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 xml:space="preserve">Метод продолженного срока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предполагает возможность повторного осуществления проектов и использование критерия выбора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по самому большому значению для многоразового осуществления проектов.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Метод продолженного срока предполагает нахождение наименьшего общего кратного для числа лет функционирования двух или нескольких оцениваемых проектов; расчет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многоразового осуществления каждого проекта на продолженном сроке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(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i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,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), где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i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– срок функционирования проекта,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– число осуществлений проекта, продолженный срок равен произведению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in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; выбор проекта с наибольшим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.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40074E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Метод эквивалентного ежегодного аннуитета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предполагает расчет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по каждому проекту с индивидуальным сроком функционирования; нахождение денежного потока в виде аннуитета, который на индивидуальном сроке функционирования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i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обеспечивал бы то же значение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. Правило метода – проект с более высоким эквивалентным аннуитетом для любого срока функционирования обеспечит более высокое значение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и этот проект будет предпочтительнее. Анализ может быть продолжен расчетом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по каждому проекту для бесконечного аннуитета. Если Х – чистый денежный поток по аннуитету, то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бессрочного аннуитета равен Х/к, где к – стоимость капитала. Правило метода – наибольшее значение 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val="en-US" w:eastAsia="ru-RU"/>
        </w:rPr>
        <w:t>NPV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 для бессрочного аннуитета характеризует лучший проект.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 xml:space="preserve">Показатель NPV отражает прогнозную оценку изменения экономического потенциала предприятия в том случае, когда принимают рассматриваемый проект. 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Этот показатель аддитивен во времени, т.е. NPV различных проектов можно суммировать. Это очень важное свойство, выделяющее этот критерий в качестве</w:t>
      </w:r>
    </w:p>
    <w:p w:rsidR="00435996" w:rsidRPr="0040074E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основного при анализе оптимальности инвестиционного портфеля</w:t>
      </w:r>
      <w:r w:rsidRPr="0040074E">
        <w:rPr>
          <w:rFonts w:ascii="Times New Roman" w:hAnsi="Times New Roman" w:cs="Times New Roman"/>
          <w:spacing w:val="30"/>
          <w:sz w:val="28"/>
          <w:szCs w:val="28"/>
          <w:lang w:eastAsia="ru-RU"/>
        </w:rPr>
        <w:t>.</w:t>
      </w:r>
    </w:p>
    <w:p w:rsidR="00435996" w:rsidRPr="00C20F55" w:rsidRDefault="00435996" w:rsidP="000116CF">
      <w:pPr>
        <w:spacing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</w:r>
      <w:r w:rsidRPr="00C20F55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Область применения и трудности NPV-метода.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При помощи NPV-метода можно не только определить эффективность проекта, но и рассчитать ряд дополнительных показателей. Такая обширная сфера применения NPV-метода дала ему широкое распространение - в наши дни он является основным методом расчета эффективности инвестиций. Однако его применение возможно, только при соблюдении ряда условий: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- Объем денежных потоков в проекте должен быть оценен для планового периода и привязан к определенным периодам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- Денежные потоки должны рассматриваться отдельно от производственной деятельности, т.е. характеризовать платежи и поступления только данного проекта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- Принцип дисконтирования подразумевает возможность неограниченного привлечения средств поставке дисконта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>- Использование метода для сравнения эффективности нескольких проектов подразумевает использование единой ставки дисконта и единого временного интервала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ab/>
        <w:t xml:space="preserve">*При расчете NPV используется постоянная ставка дисконтирования, но в зависимости от обстоятельств, например, ожидается изменение уровня процентных ставок, </w:t>
      </w:r>
    </w:p>
    <w:p w:rsidR="00435996" w:rsidRPr="00202A22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ставка дисконтирования может дифференцироваться по годами.</w:t>
      </w:r>
    </w:p>
    <w:p w:rsidR="00435996" w:rsidRPr="000116CF" w:rsidRDefault="00435996" w:rsidP="000116CF">
      <w:pPr>
        <w:spacing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0116CF" w:rsidRDefault="00435996" w:rsidP="000116CF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C20F55">
        <w:rPr>
          <w:rFonts w:ascii="Times New Roman" w:hAnsi="Times New Roman" w:cs="Times New Roman"/>
          <w:b/>
          <w:bCs/>
          <w:spacing w:val="30"/>
          <w:sz w:val="28"/>
          <w:szCs w:val="28"/>
          <w:lang w:eastAsia="ru-RU"/>
        </w:rPr>
        <w:t>В качестве примера будет рассмотрен современный складской комплекс</w:t>
      </w: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 xml:space="preserve">. </w:t>
      </w:r>
    </w:p>
    <w:p w:rsidR="00435996" w:rsidRPr="000116CF" w:rsidRDefault="00435996" w:rsidP="000116C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Склад предоставляет следующий комплекс услуг: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погрузочные и разгрузочные работы;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обслуживание грузового крупнотоннажного автотранспорта;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обслуживание легкого грузового автотранспорта;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ж/д ветка;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срочная аренда площадок (площадки в аренду);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современные склады холодильники;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ответственное хранение;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ветеринарные услуги;</w:t>
      </w:r>
    </w:p>
    <w:p w:rsidR="00435996" w:rsidRPr="000116CF" w:rsidRDefault="00435996" w:rsidP="000116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аккредитация на хранение российских и импортных продуктов питания.</w:t>
      </w:r>
    </w:p>
    <w:p w:rsidR="00435996" w:rsidRPr="000116CF" w:rsidRDefault="00435996" w:rsidP="000116C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i/>
          <w:iCs/>
          <w:spacing w:val="30"/>
          <w:sz w:val="28"/>
          <w:szCs w:val="28"/>
          <w:lang w:eastAsia="ru-RU"/>
        </w:rPr>
        <w:t>Инфраструктура склада включает в себя: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транспортная доступность;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центральное отопление;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канализация;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центральное водоснабжение;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до 2-х киловатт электрической мощности;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огороженная территория по круглосуточной охраной;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пропускной охранный режим;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прием крупнотоннажного грузового авто транспорта;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прием легкого грузового авто транспорта;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ж/д ветка;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погрузка и разгрузка вагонов;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пандус главного склада;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помещения для офисов;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телефоны;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интернет;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площадки для личного авто транспорта;</w:t>
      </w:r>
    </w:p>
    <w:p w:rsidR="00435996" w:rsidRPr="000116CF" w:rsidRDefault="00435996" w:rsidP="000116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0116CF">
        <w:rPr>
          <w:rFonts w:ascii="Times New Roman" w:hAnsi="Times New Roman" w:cs="Times New Roman"/>
          <w:spacing w:val="30"/>
          <w:sz w:val="28"/>
          <w:szCs w:val="28"/>
          <w:lang w:eastAsia="ru-RU"/>
        </w:rPr>
        <w:t>площадки для грузового авто транспорта;</w:t>
      </w: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202A22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</w:p>
    <w:p w:rsidR="00435996" w:rsidRPr="008214E3" w:rsidRDefault="00435996" w:rsidP="0088453B">
      <w:pPr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  <w:lang w:eastAsia="ru-RU"/>
        </w:rPr>
        <w:t>Схема расположения складских площадей</w:t>
      </w:r>
    </w:p>
    <w:p w:rsidR="00435996" w:rsidRPr="008214E3" w:rsidRDefault="00AB1DC0" w:rsidP="0088453B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pict>
          <v:shape id="Рисунок 1" o:spid="_x0000_i1064" type="#_x0000_t75" alt="http://www.sklad-moroz.ru/img/genplan.png" style="width:461.25pt;height:639pt;visibility:visible">
            <v:imagedata r:id="rId26" o:title="" croptop="4591f"/>
          </v:shape>
        </w:pict>
      </w: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>Инвестиции в дальнейшее развитие</w:t>
      </w:r>
    </w:p>
    <w:p w:rsidR="00435996" w:rsidRPr="008214E3" w:rsidRDefault="00435996" w:rsidP="00B31A16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>Построение терминала класса «А» . Склад высотного хранения площадью,8 тыс. м2 :первый уровень будет функционировать для осуществления переупаковки и хранения особо ценных товаров, а на втором будут офисные помещения.</w:t>
      </w: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Потолки в высоту  составят 15 м, что позволит использовать многоярусную систему стеллажей. Предполагается строительство семи ворот , которые дадут возможность принимать разные виды транспорта. </w:t>
      </w:r>
      <w:r w:rsidRPr="008214E3">
        <w:rPr>
          <w:rFonts w:ascii="Times New Roman" w:hAnsi="Times New Roman" w:cs="Times New Roman"/>
          <w:spacing w:val="30"/>
          <w:sz w:val="28"/>
          <w:szCs w:val="28"/>
        </w:rPr>
        <w:br/>
      </w:r>
      <w:r w:rsidRPr="008214E3">
        <w:rPr>
          <w:rFonts w:ascii="Times New Roman" w:hAnsi="Times New Roman" w:cs="Times New Roman"/>
          <w:spacing w:val="30"/>
          <w:sz w:val="28"/>
          <w:szCs w:val="28"/>
        </w:rPr>
        <w:br/>
        <w:t>инвестиции – 10 млн долл</w:t>
      </w:r>
    </w:p>
    <w:p w:rsidR="00435996" w:rsidRPr="008214E3" w:rsidRDefault="00435996" w:rsidP="00B0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07325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>Расширение склада «6», и реконструкция имеющейся площади.</w:t>
      </w:r>
    </w:p>
    <w:p w:rsidR="00435996" w:rsidRPr="008214E3" w:rsidRDefault="00435996" w:rsidP="00B31A16">
      <w:pPr>
        <w:pStyle w:val="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Новая площадь составит 10 тыс. м2 </w:t>
      </w:r>
    </w:p>
    <w:p w:rsidR="00435996" w:rsidRPr="008214E3" w:rsidRDefault="00435996" w:rsidP="00B31A16">
      <w:pPr>
        <w:pStyle w:val="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>Инвестиции – 6 млн долл</w:t>
      </w:r>
    </w:p>
    <w:p w:rsidR="00435996" w:rsidRPr="008214E3" w:rsidRDefault="00435996" w:rsidP="00B31A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31A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</w:rPr>
      </w:pPr>
    </w:p>
    <w:p w:rsidR="00435996" w:rsidRPr="008214E3" w:rsidRDefault="00435996" w:rsidP="00B31A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Итак, существует программа реализации </w:t>
      </w:r>
      <w:r>
        <w:rPr>
          <w:rFonts w:ascii="Times New Roman" w:hAnsi="Times New Roman" w:cs="Times New Roman"/>
          <w:spacing w:val="30"/>
          <w:sz w:val="28"/>
          <w:szCs w:val="28"/>
        </w:rPr>
        <w:t>двух</w:t>
      </w: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 проектов, для условности обозначим их как А, Б.</w:t>
      </w:r>
    </w:p>
    <w:p w:rsidR="00435996" w:rsidRPr="008214E3" w:rsidRDefault="00435996" w:rsidP="00B31A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30"/>
          <w:sz w:val="28"/>
          <w:szCs w:val="28"/>
        </w:rPr>
      </w:pPr>
      <w:r w:rsidRPr="008214E3">
        <w:rPr>
          <w:rFonts w:ascii="Times New Roman" w:hAnsi="Times New Roman" w:cs="Times New Roman"/>
          <w:spacing w:val="30"/>
          <w:sz w:val="28"/>
          <w:szCs w:val="28"/>
        </w:rPr>
        <w:t xml:space="preserve">В соответствии с требованиями метода индексов Гиттинса, каждый проект далее представлен доходами по их различным этапам. Длительность каждого этапа составит </w:t>
      </w:r>
      <w:r>
        <w:rPr>
          <w:rFonts w:ascii="Times New Roman" w:hAnsi="Times New Roman" w:cs="Times New Roman"/>
          <w:spacing w:val="30"/>
          <w:sz w:val="28"/>
          <w:szCs w:val="28"/>
        </w:rPr>
        <w:t>одно полугодие</w:t>
      </w:r>
      <w:r w:rsidRPr="008214E3">
        <w:rPr>
          <w:rFonts w:ascii="Times New Roman" w:hAnsi="Times New Roman" w:cs="Times New Roman"/>
          <w:spacing w:val="30"/>
          <w:sz w:val="28"/>
          <w:szCs w:val="28"/>
        </w:rPr>
        <w:t>.</w:t>
      </w:r>
    </w:p>
    <w:p w:rsidR="00435996" w:rsidRPr="008214E3" w:rsidRDefault="00435996" w:rsidP="00026C81">
      <w:pPr>
        <w:pStyle w:val="1"/>
        <w:spacing w:line="240" w:lineRule="auto"/>
        <w:ind w:left="709"/>
        <w:rPr>
          <w:rFonts w:ascii="Times New Roman" w:hAnsi="Times New Roman" w:cs="Times New Roman"/>
          <w:spacing w:val="30"/>
          <w:sz w:val="28"/>
          <w:szCs w:val="28"/>
        </w:rPr>
      </w:pPr>
    </w:p>
    <w:tbl>
      <w:tblPr>
        <w:tblW w:w="9223" w:type="dxa"/>
        <w:tblInd w:w="2" w:type="dxa"/>
        <w:tblLook w:val="00A0" w:firstRow="1" w:lastRow="0" w:firstColumn="1" w:lastColumn="0" w:noHBand="0" w:noVBand="0"/>
      </w:tblPr>
      <w:tblGrid>
        <w:gridCol w:w="915"/>
        <w:gridCol w:w="1066"/>
        <w:gridCol w:w="1284"/>
        <w:gridCol w:w="1066"/>
        <w:gridCol w:w="920"/>
        <w:gridCol w:w="920"/>
        <w:gridCol w:w="1066"/>
        <w:gridCol w:w="1066"/>
        <w:gridCol w:w="920"/>
      </w:tblGrid>
      <w:tr w:rsidR="00435996" w:rsidRPr="007E4D38">
        <w:trPr>
          <w:trHeight w:val="300"/>
        </w:trPr>
        <w:tc>
          <w:tcPr>
            <w:tcW w:w="9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 xml:space="preserve">стоимость выполнения работ </w:t>
            </w:r>
          </w:p>
        </w:tc>
      </w:tr>
      <w:tr w:rsidR="00435996" w:rsidRPr="007E4D3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Проект</w:t>
            </w:r>
          </w:p>
        </w:tc>
        <w:tc>
          <w:tcPr>
            <w:tcW w:w="83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стадии проектов</w:t>
            </w:r>
          </w:p>
        </w:tc>
      </w:tr>
      <w:tr w:rsidR="00435996" w:rsidRPr="007E4D3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8</w:t>
            </w:r>
          </w:p>
        </w:tc>
      </w:tr>
      <w:tr w:rsidR="00435996" w:rsidRPr="007E4D3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2078960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1403596,7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1306454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709857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617550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1456830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1678529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748224</w:t>
            </w:r>
          </w:p>
        </w:tc>
      </w:tr>
      <w:tr w:rsidR="00435996" w:rsidRPr="007E4D3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Б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1262740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1683840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790560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832518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772500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657842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 </w:t>
            </w:r>
          </w:p>
        </w:tc>
      </w:tr>
    </w:tbl>
    <w:p w:rsidR="00435996" w:rsidRPr="00C20F55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Pr="00C20F55" w:rsidRDefault="00435996" w:rsidP="00C20F55">
      <w:pPr>
        <w:spacing w:after="0" w:line="240" w:lineRule="auto"/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 w:rsidRPr="00C20F55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Прибыль от выполнения 1- 15%, 2 этапа - 8%, 3,4 ,5,6 - 10%, 7,8 - 12%</w:t>
      </w:r>
    </w:p>
    <w:p w:rsidR="00435996" w:rsidRPr="00C20F55" w:rsidRDefault="00435996" w:rsidP="00C20F55">
      <w:pPr>
        <w:spacing w:after="0" w:line="240" w:lineRule="auto"/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 w:rsidRPr="00C20F55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Прибыль от выполнения 1, 2 этапа - 12%, 3,4 - 13%, 5,6 - 15%</w:t>
      </w: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tbl>
      <w:tblPr>
        <w:tblW w:w="9221" w:type="dxa"/>
        <w:tblInd w:w="2" w:type="dxa"/>
        <w:tblLook w:val="00A0" w:firstRow="1" w:lastRow="0" w:firstColumn="1" w:lastColumn="0" w:noHBand="0" w:noVBand="0"/>
      </w:tblPr>
      <w:tblGrid>
        <w:gridCol w:w="976"/>
        <w:gridCol w:w="982"/>
        <w:gridCol w:w="1528"/>
        <w:gridCol w:w="982"/>
        <w:gridCol w:w="982"/>
        <w:gridCol w:w="982"/>
        <w:gridCol w:w="982"/>
        <w:gridCol w:w="982"/>
        <w:gridCol w:w="825"/>
      </w:tblGrid>
      <w:tr w:rsidR="00435996" w:rsidRPr="007E4D38">
        <w:trPr>
          <w:trHeight w:val="300"/>
        </w:trPr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Доходы</w:t>
            </w:r>
          </w:p>
        </w:tc>
      </w:tr>
      <w:tr w:rsidR="00435996" w:rsidRPr="007E4D38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Проект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стадии проектов</w:t>
            </w:r>
          </w:p>
        </w:tc>
      </w:tr>
      <w:tr w:rsidR="00435996" w:rsidRPr="007E4D38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8</w:t>
            </w:r>
          </w:p>
        </w:tc>
      </w:tr>
      <w:tr w:rsidR="00435996" w:rsidRPr="007E4D38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311844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112287,736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130645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70986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61755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145683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201423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89787</w:t>
            </w:r>
          </w:p>
        </w:tc>
      </w:tr>
      <w:tr w:rsidR="00435996" w:rsidRPr="007E4D38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151529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202061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102773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108227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115875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98676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C20F55" w:rsidRDefault="00435996" w:rsidP="00C20F55">
            <w:pPr>
              <w:spacing w:after="0" w:line="240" w:lineRule="auto"/>
              <w:rPr>
                <w:color w:val="000000"/>
                <w:lang w:eastAsia="ru-RU"/>
              </w:rPr>
            </w:pPr>
            <w:r w:rsidRPr="00C20F55">
              <w:rPr>
                <w:color w:val="000000"/>
                <w:lang w:eastAsia="ru-RU"/>
              </w:rPr>
              <w:t> </w:t>
            </w:r>
          </w:p>
        </w:tc>
      </w:tr>
    </w:tbl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886"/>
        <w:gridCol w:w="1275"/>
        <w:gridCol w:w="1052"/>
        <w:gridCol w:w="1163"/>
        <w:gridCol w:w="1052"/>
        <w:gridCol w:w="1052"/>
        <w:gridCol w:w="1163"/>
        <w:gridCol w:w="1275"/>
        <w:gridCol w:w="1918"/>
        <w:gridCol w:w="3462"/>
      </w:tblGrid>
      <w:tr w:rsidR="00435996" w:rsidRPr="007E4D38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х7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Индексы Гиттинса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Максимальный момент остановки</w:t>
            </w:r>
          </w:p>
        </w:tc>
      </w:tr>
      <w:tr w:rsidR="00435996" w:rsidRPr="007E4D38">
        <w:trPr>
          <w:trHeight w:val="300"/>
        </w:trPr>
        <w:tc>
          <w:tcPr>
            <w:tcW w:w="31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311844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112287,736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130645,4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70985,7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311844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311844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217317,349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191411,7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165883,77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149200,7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148757,4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154122,29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148719,366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112287,736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130645,4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70985,7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120983,4517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112287,736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120983,5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106039,47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96652,04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104507,6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116721,17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113977,461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130645,4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70985,7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130645,358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130645,4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102385,52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90241,34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101993,9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117924,08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114378,152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70985,7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113813,9421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4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70985,7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66613,26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90246,65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113813,94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109964,42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131373,697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3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101510,4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131373,7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122558,107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172086,3853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145683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172086,39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147487,63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201423,48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148542,969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</w:t>
            </w:r>
          </w:p>
        </w:tc>
      </w:tr>
      <w:tr w:rsidR="00435996" w:rsidRPr="007E4D38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89786,8464</w:t>
            </w: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886"/>
        <w:gridCol w:w="1275"/>
        <w:gridCol w:w="1052"/>
        <w:gridCol w:w="1163"/>
        <w:gridCol w:w="1052"/>
        <w:gridCol w:w="1052"/>
        <w:gridCol w:w="266"/>
        <w:gridCol w:w="266"/>
        <w:gridCol w:w="1918"/>
        <w:gridCol w:w="3462"/>
      </w:tblGrid>
      <w:tr w:rsidR="00435996" w:rsidRPr="007E4D38">
        <w:trPr>
          <w:trHeight w:val="30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х5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Индексы Гиттинса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Максимальный момент остановки</w:t>
            </w:r>
          </w:p>
        </w:tc>
      </w:tr>
      <w:tr w:rsidR="00435996" w:rsidRPr="007E4D38">
        <w:trPr>
          <w:trHeight w:val="300"/>
        </w:trPr>
        <w:tc>
          <w:tcPr>
            <w:tcW w:w="31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151529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202061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102773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108227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175465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</w:t>
            </w: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151529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175465,023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153737,8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144090,5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139569,9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134416,4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202061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102773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108227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202061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</w:t>
            </w: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202061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155029,6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141040,76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135706,1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129773,3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102773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108227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108500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3</w:t>
            </w: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102773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105356,53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108500,4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106417,9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108227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111850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</w:t>
            </w: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108227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111849,9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107912,4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</w:t>
            </w: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115875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107728,2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1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</w:t>
            </w:r>
          </w:p>
        </w:tc>
      </w:tr>
      <w:tr w:rsidR="00435996" w:rsidRPr="007E4D38">
        <w:trPr>
          <w:trHeight w:val="30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tbl>
      <w:tblPr>
        <w:tblW w:w="4800" w:type="dxa"/>
        <w:tblInd w:w="2" w:type="dxa"/>
        <w:tblLook w:val="00A0" w:firstRow="1" w:lastRow="0" w:firstColumn="1" w:lastColumn="0" w:noHBand="0" w:noVBand="0"/>
      </w:tblPr>
      <w:tblGrid>
        <w:gridCol w:w="1052"/>
        <w:gridCol w:w="1052"/>
        <w:gridCol w:w="960"/>
        <w:gridCol w:w="1052"/>
        <w:gridCol w:w="960"/>
      </w:tblGrid>
      <w:tr w:rsidR="00435996" w:rsidRPr="007E4D3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</w:t>
            </w:r>
          </w:p>
        </w:tc>
      </w:tr>
      <w:tr w:rsidR="00435996" w:rsidRPr="007E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191411,7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70986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172086,4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89787</w:t>
            </w:r>
          </w:p>
        </w:tc>
      </w:tr>
      <w:tr w:rsidR="00435996" w:rsidRPr="007E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</w:tr>
      <w:tr w:rsidR="00435996" w:rsidRPr="007E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175465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108500,4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98676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996" w:rsidRPr="0067242F" w:rsidRDefault="00435996" w:rsidP="0067242F">
            <w:pPr>
              <w:spacing w:after="0" w:line="240" w:lineRule="auto"/>
              <w:rPr>
                <w:color w:val="000000"/>
                <w:lang w:eastAsia="ru-RU"/>
              </w:rPr>
            </w:pPr>
            <w:r w:rsidRPr="0067242F">
              <w:rPr>
                <w:color w:val="000000"/>
                <w:lang w:eastAsia="ru-RU"/>
              </w:rPr>
              <w:t> </w:t>
            </w:r>
          </w:p>
        </w:tc>
      </w:tr>
    </w:tbl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</w:p>
    <w:p w:rsidR="00435996" w:rsidRPr="00202A22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 w:rsidRPr="0067242F">
        <w:rPr>
          <w:rFonts w:ascii="Times New Roman" w:hAnsi="Times New Roman" w:cs="Times New Roman"/>
          <w:spacing w:val="30"/>
          <w:sz w:val="28"/>
          <w:szCs w:val="28"/>
        </w:rPr>
        <w:t>А1,А2,А3,Б1,Б2,Б3,Б4,Б5,Б6,А4,А5,А6,А7,А8</w:t>
      </w:r>
    </w:p>
    <w:p w:rsidR="00435996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Как итог, мы можем сделать вывод о том, что используя метод индекса Гиттинса удалось ранжировать последовательность выполнения инвестиционных проектов таким образом, чтобы в итоге получить максимальный доход. Это доказывают показатели </w:t>
      </w:r>
      <w:r>
        <w:rPr>
          <w:rFonts w:ascii="Times New Roman" w:hAnsi="Times New Roman" w:cs="Times New Roman"/>
          <w:spacing w:val="30"/>
          <w:sz w:val="28"/>
          <w:szCs w:val="28"/>
          <w:lang w:val="en-US"/>
        </w:rPr>
        <w:t>NPV</w:t>
      </w:r>
      <w:r w:rsidRPr="00BB33BE">
        <w:rPr>
          <w:rFonts w:ascii="Times New Roman" w:hAnsi="Times New Roman" w:cs="Times New Roman"/>
          <w:spacing w:val="30"/>
          <w:sz w:val="28"/>
          <w:szCs w:val="28"/>
        </w:rPr>
        <w:t>,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рассчитанные с учетом и без учета ранжирования.</w:t>
      </w:r>
    </w:p>
    <w:p w:rsidR="00435996" w:rsidRPr="00BB33BE" w:rsidRDefault="00435996" w:rsidP="00BB33BE">
      <w:pPr>
        <w:rPr>
          <w:color w:val="000000"/>
          <w:lang w:eastAsia="ru-RU"/>
        </w:rPr>
      </w:pPr>
      <w:r>
        <w:rPr>
          <w:rFonts w:ascii="Times New Roman" w:hAnsi="Times New Roman" w:cs="Times New Roman"/>
          <w:spacing w:val="30"/>
          <w:sz w:val="28"/>
          <w:szCs w:val="28"/>
          <w:lang w:val="en-US"/>
        </w:rPr>
        <w:t>NPV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(до ранжирования)= </w:t>
      </w:r>
      <w:r w:rsidRPr="00BB33BE">
        <w:rPr>
          <w:color w:val="000000"/>
          <w:lang w:eastAsia="ru-RU"/>
        </w:rPr>
        <w:t>1152326</w:t>
      </w:r>
    </w:p>
    <w:p w:rsidR="00435996" w:rsidRPr="00BB33BE" w:rsidRDefault="00435996" w:rsidP="00BB33BE">
      <w:pPr>
        <w:rPr>
          <w:color w:val="000000"/>
          <w:lang w:eastAsia="ru-RU"/>
        </w:rPr>
      </w:pPr>
      <w:r>
        <w:rPr>
          <w:rFonts w:ascii="Times New Roman" w:hAnsi="Times New Roman" w:cs="Times New Roman"/>
          <w:spacing w:val="30"/>
          <w:sz w:val="28"/>
          <w:szCs w:val="28"/>
          <w:lang w:val="en-US"/>
        </w:rPr>
        <w:t>NPV</w:t>
      </w:r>
      <w:r>
        <w:rPr>
          <w:rFonts w:ascii="Times New Roman" w:hAnsi="Times New Roman" w:cs="Times New Roman"/>
          <w:spacing w:val="30"/>
          <w:sz w:val="28"/>
          <w:szCs w:val="28"/>
        </w:rPr>
        <w:t>(после ранжирования)=</w:t>
      </w:r>
      <w:r w:rsidRPr="00BB33BE">
        <w:rPr>
          <w:color w:val="000000"/>
        </w:rPr>
        <w:t xml:space="preserve"> </w:t>
      </w:r>
      <w:r w:rsidRPr="00BB33BE">
        <w:rPr>
          <w:color w:val="000000"/>
          <w:lang w:eastAsia="ru-RU"/>
        </w:rPr>
        <w:t>1372100</w:t>
      </w:r>
    </w:p>
    <w:p w:rsidR="00435996" w:rsidRDefault="00435996" w:rsidP="00BB33BE">
      <w:pPr>
        <w:rPr>
          <w:color w:val="000000"/>
          <w:lang w:eastAsia="ru-RU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Разница составит - </w:t>
      </w:r>
      <w:r w:rsidRPr="00BB33BE">
        <w:rPr>
          <w:color w:val="000000"/>
          <w:lang w:eastAsia="ru-RU"/>
        </w:rPr>
        <w:t>219773,8</w:t>
      </w:r>
      <w:r>
        <w:rPr>
          <w:color w:val="000000"/>
          <w:lang w:eastAsia="ru-RU"/>
        </w:rPr>
        <w:t xml:space="preserve"> млн. долл.</w:t>
      </w:r>
    </w:p>
    <w:p w:rsidR="00435996" w:rsidRDefault="00435996" w:rsidP="00BB33BE">
      <w:pPr>
        <w:rPr>
          <w:color w:val="000000"/>
          <w:lang w:eastAsia="ru-RU"/>
        </w:rPr>
      </w:pPr>
    </w:p>
    <w:p w:rsidR="00435996" w:rsidRDefault="00435996" w:rsidP="00BB33BE">
      <w:pPr>
        <w:rPr>
          <w:color w:val="000000"/>
          <w:lang w:eastAsia="ru-RU"/>
        </w:rPr>
      </w:pPr>
    </w:p>
    <w:p w:rsidR="00435996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 w:rsidRPr="00357002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:</w:t>
      </w:r>
    </w:p>
    <w:p w:rsidR="00435996" w:rsidRPr="00FB6398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1.Курс лекций и учебно – методические материалы по дисциплине «Экономико – математические методы и модели в логистике» Бродецкий Г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Л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Москва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,2010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г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.</w:t>
      </w:r>
    </w:p>
    <w:p w:rsidR="00435996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 w:rsidRPr="0090763A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Курс лекции по дисциплине «Финансовый менеджмент». Байбурина</w:t>
      </w:r>
      <w:r w:rsidRPr="0090763A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Э</w:t>
      </w:r>
      <w:r w:rsidRPr="0090763A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Р</w:t>
      </w:r>
      <w:r w:rsidRPr="0090763A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Москва, 2010 г.</w:t>
      </w:r>
    </w:p>
    <w:p w:rsidR="00435996" w:rsidRPr="00FB6398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</w:pP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. «Финансовый менеджмнт: управление капиталом и инвестициями». Т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В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Теплова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Москва</w:t>
      </w: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, 2000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eastAsia="ru-RU"/>
        </w:rPr>
        <w:t>г.</w:t>
      </w:r>
    </w:p>
    <w:p w:rsidR="00435996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</w:pP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>4</w:t>
      </w:r>
      <w:r w:rsidRPr="00357002"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>General Gittins index processes in discrete time, Nicole El Karoui, Ioannis Karatzas</w:t>
      </w:r>
    </w:p>
    <w:p w:rsidR="00435996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</w:pP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>5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>.Multi – armed Bandit Problems with Dependent Arms, Sandeep Pandey, Deepayan Chakrabarti, Deepak Agarwal</w:t>
      </w:r>
    </w:p>
    <w:p w:rsidR="00435996" w:rsidRPr="00357002" w:rsidRDefault="00435996" w:rsidP="00BB33BE">
      <w:pPr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</w:pPr>
      <w:r w:rsidRPr="00FB6398"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>6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en-US" w:eastAsia="ru-RU"/>
        </w:rPr>
        <w:t>. Four Proofs of Gittins’ Multiarmed Bandit Theorem, Esther Frostig, Gideon Weiss, 1999.</w:t>
      </w:r>
    </w:p>
    <w:p w:rsidR="00435996" w:rsidRPr="00357002" w:rsidRDefault="00435996" w:rsidP="0018367A">
      <w:pPr>
        <w:spacing w:line="240" w:lineRule="auto"/>
        <w:rPr>
          <w:rFonts w:ascii="Times New Roman" w:hAnsi="Times New Roman" w:cs="Times New Roman"/>
          <w:spacing w:val="30"/>
          <w:sz w:val="28"/>
          <w:szCs w:val="28"/>
          <w:lang w:val="en-US"/>
        </w:rPr>
      </w:pPr>
      <w:bookmarkStart w:id="0" w:name="_GoBack"/>
      <w:bookmarkEnd w:id="0"/>
    </w:p>
    <w:sectPr w:rsidR="00435996" w:rsidRPr="00357002" w:rsidSect="00865C72">
      <w:footerReference w:type="default" r:id="rId27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96" w:rsidRDefault="00435996" w:rsidP="0088453B">
      <w:pPr>
        <w:spacing w:after="0" w:line="240" w:lineRule="auto"/>
      </w:pPr>
      <w:r>
        <w:separator/>
      </w:r>
    </w:p>
  </w:endnote>
  <w:endnote w:type="continuationSeparator" w:id="0">
    <w:p w:rsidR="00435996" w:rsidRDefault="00435996" w:rsidP="0088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96" w:rsidRDefault="0043599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28F8">
      <w:rPr>
        <w:noProof/>
      </w:rPr>
      <w:t>2</w:t>
    </w:r>
    <w:r>
      <w:fldChar w:fldCharType="end"/>
    </w:r>
  </w:p>
  <w:p w:rsidR="00435996" w:rsidRDefault="004359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96" w:rsidRDefault="00435996" w:rsidP="0088453B">
      <w:pPr>
        <w:spacing w:after="0" w:line="240" w:lineRule="auto"/>
      </w:pPr>
      <w:r>
        <w:separator/>
      </w:r>
    </w:p>
  </w:footnote>
  <w:footnote w:type="continuationSeparator" w:id="0">
    <w:p w:rsidR="00435996" w:rsidRDefault="00435996" w:rsidP="0088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71389"/>
    <w:multiLevelType w:val="multilevel"/>
    <w:tmpl w:val="63C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173D1"/>
    <w:multiLevelType w:val="hybridMultilevel"/>
    <w:tmpl w:val="B7DE6B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891EEC"/>
    <w:multiLevelType w:val="hybridMultilevel"/>
    <w:tmpl w:val="E156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AE0F22"/>
    <w:multiLevelType w:val="hybridMultilevel"/>
    <w:tmpl w:val="7CC4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02047"/>
    <w:multiLevelType w:val="hybridMultilevel"/>
    <w:tmpl w:val="FF3C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100D6"/>
    <w:multiLevelType w:val="multilevel"/>
    <w:tmpl w:val="B82C19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cs="Times New Roman" w:hint="default"/>
      </w:rPr>
    </w:lvl>
  </w:abstractNum>
  <w:abstractNum w:abstractNumId="6">
    <w:nsid w:val="70390721"/>
    <w:multiLevelType w:val="multilevel"/>
    <w:tmpl w:val="368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62BB5"/>
    <w:multiLevelType w:val="hybridMultilevel"/>
    <w:tmpl w:val="A38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5C1"/>
    <w:rsid w:val="000057EC"/>
    <w:rsid w:val="000116CF"/>
    <w:rsid w:val="00026C81"/>
    <w:rsid w:val="0006265C"/>
    <w:rsid w:val="0012175B"/>
    <w:rsid w:val="001301DB"/>
    <w:rsid w:val="00132923"/>
    <w:rsid w:val="0015746F"/>
    <w:rsid w:val="0018367A"/>
    <w:rsid w:val="00202A22"/>
    <w:rsid w:val="00354976"/>
    <w:rsid w:val="00357002"/>
    <w:rsid w:val="0040074E"/>
    <w:rsid w:val="00435996"/>
    <w:rsid w:val="00451135"/>
    <w:rsid w:val="004648A4"/>
    <w:rsid w:val="00465C81"/>
    <w:rsid w:val="004F50F3"/>
    <w:rsid w:val="00550FC5"/>
    <w:rsid w:val="0059430A"/>
    <w:rsid w:val="005C6103"/>
    <w:rsid w:val="0063110D"/>
    <w:rsid w:val="0067242F"/>
    <w:rsid w:val="006A6511"/>
    <w:rsid w:val="006C2FA4"/>
    <w:rsid w:val="006F4768"/>
    <w:rsid w:val="0070408F"/>
    <w:rsid w:val="00704BB8"/>
    <w:rsid w:val="00716041"/>
    <w:rsid w:val="00746564"/>
    <w:rsid w:val="00766E53"/>
    <w:rsid w:val="007E4D38"/>
    <w:rsid w:val="007F0341"/>
    <w:rsid w:val="008214E3"/>
    <w:rsid w:val="008615C1"/>
    <w:rsid w:val="00862FD7"/>
    <w:rsid w:val="00865C72"/>
    <w:rsid w:val="0088453B"/>
    <w:rsid w:val="008B3BAC"/>
    <w:rsid w:val="008C6722"/>
    <w:rsid w:val="008E0642"/>
    <w:rsid w:val="0090763A"/>
    <w:rsid w:val="009317A9"/>
    <w:rsid w:val="00987FD2"/>
    <w:rsid w:val="00A41633"/>
    <w:rsid w:val="00A57996"/>
    <w:rsid w:val="00AB1DC0"/>
    <w:rsid w:val="00B07325"/>
    <w:rsid w:val="00B31A16"/>
    <w:rsid w:val="00B463BD"/>
    <w:rsid w:val="00BA6A7B"/>
    <w:rsid w:val="00BB33BE"/>
    <w:rsid w:val="00BF28F8"/>
    <w:rsid w:val="00C20F55"/>
    <w:rsid w:val="00C513C5"/>
    <w:rsid w:val="00C7248C"/>
    <w:rsid w:val="00CA4CD6"/>
    <w:rsid w:val="00D61B68"/>
    <w:rsid w:val="00DA056A"/>
    <w:rsid w:val="00E727C1"/>
    <w:rsid w:val="00EA26A8"/>
    <w:rsid w:val="00ED5BB2"/>
    <w:rsid w:val="00F04153"/>
    <w:rsid w:val="00FB6398"/>
    <w:rsid w:val="00FF33BE"/>
    <w:rsid w:val="00FF5B15"/>
    <w:rsid w:val="00FF6071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D9F4B734-9003-4315-A602-5591C8D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7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8367A"/>
    <w:pPr>
      <w:ind w:left="720"/>
    </w:pPr>
  </w:style>
  <w:style w:type="paragraph" w:styleId="a3">
    <w:name w:val="Balloon Text"/>
    <w:basedOn w:val="a"/>
    <w:link w:val="a4"/>
    <w:semiHidden/>
    <w:rsid w:val="0088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8845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88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semiHidden/>
    <w:locked/>
    <w:rsid w:val="0088453B"/>
    <w:rPr>
      <w:rFonts w:cs="Times New Roman"/>
    </w:rPr>
  </w:style>
  <w:style w:type="paragraph" w:styleId="a7">
    <w:name w:val="footer"/>
    <w:basedOn w:val="a"/>
    <w:link w:val="a8"/>
    <w:rsid w:val="0088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locked/>
    <w:rsid w:val="0088453B"/>
    <w:rPr>
      <w:rFonts w:cs="Times New Roman"/>
    </w:rPr>
  </w:style>
  <w:style w:type="paragraph" w:styleId="a9">
    <w:name w:val="Normal (Web)"/>
    <w:basedOn w:val="a"/>
    <w:rsid w:val="008845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semiHidden/>
    <w:rsid w:val="0088453B"/>
    <w:rPr>
      <w:rFonts w:cs="Times New Roman"/>
      <w:color w:val="0000FF"/>
      <w:u w:val="single"/>
    </w:rPr>
  </w:style>
  <w:style w:type="table" w:styleId="ab">
    <w:name w:val="Table Grid"/>
    <w:basedOn w:val="a1"/>
    <w:rsid w:val="00716041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покажчика місця заповнення1"/>
    <w:basedOn w:val="a0"/>
    <w:semiHidden/>
    <w:rsid w:val="0063110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на тему:</vt:lpstr>
    </vt:vector>
  </TitlesOfParts>
  <Company>Grizli777</Company>
  <LinksUpToDate>false</LinksUpToDate>
  <CharactersWithSpaces>23487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</dc:title>
  <dc:subject/>
  <dc:creator>Пользователь Windows</dc:creator>
  <cp:keywords/>
  <dc:description/>
  <cp:lastModifiedBy>Irina</cp:lastModifiedBy>
  <cp:revision>2</cp:revision>
  <dcterms:created xsi:type="dcterms:W3CDTF">2014-08-20T11:53:00Z</dcterms:created>
  <dcterms:modified xsi:type="dcterms:W3CDTF">2014-08-20T11:53:00Z</dcterms:modified>
</cp:coreProperties>
</file>