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56" w:rsidRPr="00402218" w:rsidRDefault="00C73856" w:rsidP="00402218">
      <w:pPr>
        <w:pStyle w:val="4"/>
        <w:spacing w:before="0"/>
        <w:ind w:firstLine="720"/>
        <w:jc w:val="both"/>
        <w:rPr>
          <w:szCs w:val="28"/>
        </w:rPr>
      </w:pPr>
      <w:r w:rsidRPr="00402218">
        <w:rPr>
          <w:szCs w:val="28"/>
        </w:rPr>
        <w:t>Содержание</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p>
    <w:p w:rsidR="00402218"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Введение</w:t>
      </w:r>
    </w:p>
    <w:p w:rsidR="00402218"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 Таможенная политика РФ в 90-е годы</w:t>
      </w:r>
    </w:p>
    <w:p w:rsidR="00402218"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2. Таможенный Кодекс 2003г.</w:t>
      </w:r>
    </w:p>
    <w:p w:rsidR="00402218"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3. Концепция развития таможенной политики РФ</w:t>
      </w:r>
    </w:p>
    <w:p w:rsidR="00402218"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Заключение</w:t>
      </w:r>
    </w:p>
    <w:p w:rsidR="00C73856"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Библиографический список литературы</w:t>
      </w:r>
    </w:p>
    <w:p w:rsidR="00C73856"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b/>
          <w:sz w:val="28"/>
          <w:szCs w:val="28"/>
        </w:rPr>
      </w:pPr>
      <w:r w:rsidRPr="00402218">
        <w:rPr>
          <w:rFonts w:ascii="Times New Roman" w:eastAsia="Times New Roman" w:hAnsi="Times New Roman" w:cs="Times New Roman"/>
          <w:sz w:val="28"/>
          <w:szCs w:val="28"/>
        </w:rPr>
        <w:br w:type="page"/>
      </w:r>
      <w:bookmarkStart w:id="0" w:name="_Toc184889721"/>
      <w:r w:rsidR="00C73856" w:rsidRPr="00402218">
        <w:rPr>
          <w:rFonts w:ascii="Times New Roman" w:eastAsia="Times New Roman" w:hAnsi="Times New Roman" w:cs="Times New Roman"/>
          <w:b/>
          <w:sz w:val="28"/>
          <w:szCs w:val="28"/>
        </w:rPr>
        <w:t>Введение</w:t>
      </w:r>
      <w:bookmarkEnd w:id="0"/>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color w:val="000000"/>
          <w:sz w:val="28"/>
          <w:szCs w:val="28"/>
        </w:rPr>
      </w:pP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eastAsia="Times New Roman" w:hAnsi="Times New Roman" w:cs="Times New Roman"/>
          <w:sz w:val="28"/>
          <w:szCs w:val="28"/>
        </w:rPr>
        <w:t>Таможенная</w:t>
      </w:r>
      <w:r w:rsidR="007775C5">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политика является важнейшим компонентом внутренней и внешней политики Российского государства и направлена на наиболее эффективное использование инструментов таможенного права, таможенного регулирования и контроля за товарообменом на конкретной территории, а также на участие в реализации торгово-политических задач по защите внутреннего рынка и стимулирование развития экономики в целом.</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этом смысле таможенная политика может осуществляться государством и его соответствующими органами исключительно на четких и подробно изложенных в законе юридических основаниях. При этом инструменты реализации таможенной политики и средства осуществления таможенной деятельности непосредственно затрагивают интересы широкого круга самостоятельно хозяйствующих субъектов, связанных с перемещением через таможенную границу РФ товаров, услуг, финансовых и транспортных средств.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noProof/>
          <w:sz w:val="28"/>
          <w:szCs w:val="28"/>
        </w:rPr>
      </w:pPr>
      <w:r w:rsidRPr="00402218">
        <w:rPr>
          <w:rFonts w:ascii="Times New Roman" w:eastAsia="Times New Roman" w:hAnsi="Times New Roman" w:cs="Times New Roman"/>
          <w:noProof/>
          <w:sz w:val="28"/>
          <w:szCs w:val="28"/>
        </w:rPr>
        <w:t xml:space="preserve">Таможенная политика России определяется высшими органами государственной власти и управления страны и является составной частью </w:t>
      </w:r>
      <w:r w:rsidRPr="00402218">
        <w:rPr>
          <w:rFonts w:ascii="Times New Roman" w:eastAsia="Times New Roman" w:hAnsi="Times New Roman" w:cs="Times New Roman"/>
          <w:sz w:val="28"/>
          <w:szCs w:val="28"/>
        </w:rPr>
        <w:t>внешней и внутренней политики российского государства. Целями таможенной политики России являются: интеграция хозяйства страны в мировую экономику; защита и стимулирование экономического развития России; создание условий для функционирования российского рынка и</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рынка стран СНГ; укрепление торгового и платежного баланса страны; рост доходов государственного бюджета; упрочение торгово-политических позиций России; противодействие дискриминационным акциям иностранных государств и их союзов; расширение культурных и информационных обменов между Россией и зарубежными странами, контактов между людьми; охрана жизни и здоровья человека, животных и растений, сохранение окружающей</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среды; защита государственной и общественной безопасности; защита прав и законных интересов</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граждан, предприятий, объ</w:t>
      </w:r>
      <w:r w:rsidRPr="00402218">
        <w:rPr>
          <w:rFonts w:ascii="Times New Roman" w:eastAsia="Times New Roman" w:hAnsi="Times New Roman" w:cs="Times New Roman"/>
          <w:sz w:val="28"/>
          <w:szCs w:val="28"/>
        </w:rPr>
        <w:softHyphen/>
        <w:t>единений и организаций,</w:t>
      </w:r>
      <w:r w:rsidR="00402218">
        <w:rPr>
          <w:rFonts w:ascii="Times New Roman" w:eastAsia="Times New Roman" w:hAnsi="Times New Roman" w:cs="Times New Roman"/>
          <w:noProof/>
          <w:sz w:val="28"/>
          <w:szCs w:val="28"/>
        </w:rPr>
        <w:t xml:space="preserve"> </w:t>
      </w:r>
      <w:r w:rsidRPr="00402218">
        <w:rPr>
          <w:rFonts w:ascii="Times New Roman" w:eastAsia="Times New Roman" w:hAnsi="Times New Roman" w:cs="Times New Roman"/>
          <w:noProof/>
          <w:sz w:val="28"/>
          <w:szCs w:val="28"/>
        </w:rPr>
        <w:t>культурного</w:t>
      </w:r>
      <w:r w:rsidRPr="00402218">
        <w:rPr>
          <w:rFonts w:ascii="Times New Roman" w:eastAsia="Times New Roman" w:hAnsi="Times New Roman" w:cs="Times New Roman"/>
          <w:sz w:val="28"/>
          <w:szCs w:val="28"/>
        </w:rPr>
        <w:t xml:space="preserve"> и исторического наследия народов России.</w:t>
      </w:r>
      <w:r w:rsidRPr="00402218">
        <w:rPr>
          <w:rFonts w:ascii="Times New Roman" w:eastAsia="Times New Roman" w:hAnsi="Times New Roman" w:cs="Times New Roman"/>
          <w:noProof/>
          <w:sz w:val="28"/>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Формирование нового Российского государства и системы исполнительской власти повлекло за собой обновление механизма правового регулирования и управления внешнеэкономической деятельностью, соответственно, всей таможенной системы - таможенного дела и таможенной службы. Формирование новых экономических отношений в России послужило толчком и к обновлению таможенного дела.</w:t>
      </w:r>
    </w:p>
    <w:p w:rsidR="00C73856" w:rsidRPr="00402218" w:rsidRDefault="00C73856" w:rsidP="00402218">
      <w:pPr>
        <w:pStyle w:val="21"/>
        <w:ind w:firstLine="720"/>
        <w:rPr>
          <w:szCs w:val="28"/>
        </w:rPr>
      </w:pPr>
      <w:r w:rsidRPr="00402218">
        <w:rPr>
          <w:szCs w:val="28"/>
        </w:rPr>
        <w:t xml:space="preserve">В период коренных политических и социально-экономических преобразований в Российской Федерации, ориентированных на интеграцию страны в мировое хозяйство, вопросы таможенного дела приобрели особенную актуальность. Существенное расширение круга субъектов таможенных </w:t>
      </w:r>
      <w:r w:rsidR="007775C5" w:rsidRPr="00402218">
        <w:rPr>
          <w:szCs w:val="28"/>
        </w:rPr>
        <w:t>правоотношений</w:t>
      </w:r>
      <w:r w:rsidRPr="00402218">
        <w:rPr>
          <w:szCs w:val="28"/>
        </w:rPr>
        <w:t xml:space="preserve"> сопровождается усилением внимания юридических и физических лиц как у нас в стране, так и за рубежом, к таможенной политике и экономико-правовым актам в таможенной сфере Российской Федерации. </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Все вышеперечисленные факторы обусловливают </w:t>
      </w:r>
      <w:r w:rsidRPr="00402218">
        <w:rPr>
          <w:rFonts w:ascii="Times New Roman" w:eastAsia="Times New Roman" w:hAnsi="Times New Roman" w:cs="Times New Roman"/>
          <w:b/>
          <w:bCs/>
          <w:sz w:val="28"/>
          <w:szCs w:val="28"/>
        </w:rPr>
        <w:t>актуальность</w:t>
      </w:r>
      <w:r w:rsidRPr="00402218">
        <w:rPr>
          <w:rFonts w:ascii="Times New Roman" w:eastAsia="Times New Roman" w:hAnsi="Times New Roman" w:cs="Times New Roman"/>
          <w:sz w:val="28"/>
          <w:szCs w:val="28"/>
        </w:rPr>
        <w:t xml:space="preserve"> теоретического анализа проблем реализации новой таможенной политики России.</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Теоретическое развитие идеи реализации внешнеторговой и, в частности, таможенной политики получили в работах известных экономистов, таких как Барамзин СВ., Брацун Г.П., Бякин Г.И., Волынский П.В., Габричидзе Б.Н., Гончаров П.К., Дедяев В.М., Дзюбенко П.Ю., Кисловский Ю.Г., и др.</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Основная </w:t>
      </w:r>
      <w:r w:rsidRPr="00402218">
        <w:rPr>
          <w:rFonts w:ascii="Times New Roman" w:eastAsia="Times New Roman" w:hAnsi="Times New Roman" w:cs="Times New Roman"/>
          <w:b/>
          <w:bCs/>
          <w:sz w:val="28"/>
          <w:szCs w:val="28"/>
        </w:rPr>
        <w:t>цель</w:t>
      </w:r>
      <w:r w:rsidRPr="00402218">
        <w:rPr>
          <w:rFonts w:ascii="Times New Roman" w:eastAsia="Times New Roman" w:hAnsi="Times New Roman" w:cs="Times New Roman"/>
          <w:sz w:val="28"/>
          <w:szCs w:val="28"/>
        </w:rPr>
        <w:t xml:space="preserve"> данного исследования состоит в обобщении теоретических и методических положений по выработке и реализации таможенной политики России в современных условиях. </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Цель исследования предопределила постановку и решение следующих задач:</w:t>
      </w:r>
    </w:p>
    <w:p w:rsidR="00C73856" w:rsidRPr="00402218" w:rsidRDefault="00C73856" w:rsidP="00402218">
      <w:pPr>
        <w:numPr>
          <w:ilvl w:val="0"/>
          <w:numId w:val="1"/>
        </w:numPr>
        <w:spacing w:before="0" w:beforeAutospacing="0" w:after="0" w:afterAutospacing="0" w:line="360" w:lineRule="auto"/>
        <w:ind w:left="0" w:firstLine="720"/>
        <w:jc w:val="both"/>
        <w:rPr>
          <w:rFonts w:ascii="Times New Roman" w:hAnsi="Times New Roman" w:cs="Times New Roman"/>
          <w:sz w:val="28"/>
          <w:szCs w:val="28"/>
        </w:rPr>
      </w:pPr>
      <w:r w:rsidRPr="00402218">
        <w:rPr>
          <w:rFonts w:ascii="Times New Roman" w:eastAsia="Times New Roman" w:hAnsi="Times New Roman" w:cs="Times New Roman"/>
          <w:sz w:val="28"/>
          <w:szCs w:val="28"/>
        </w:rPr>
        <w:t>Охарактеризовать т</w:t>
      </w:r>
      <w:r w:rsidRPr="00402218">
        <w:rPr>
          <w:rFonts w:ascii="Times New Roman" w:hAnsi="Times New Roman" w:cs="Times New Roman"/>
          <w:sz w:val="28"/>
          <w:szCs w:val="28"/>
        </w:rPr>
        <w:t xml:space="preserve">аможенную политику РФ в 90-е годы. </w:t>
      </w:r>
    </w:p>
    <w:p w:rsidR="00C73856" w:rsidRPr="00402218" w:rsidRDefault="00C73856" w:rsidP="00402218">
      <w:pPr>
        <w:numPr>
          <w:ilvl w:val="0"/>
          <w:numId w:val="1"/>
        </w:numPr>
        <w:spacing w:before="0" w:beforeAutospacing="0" w:after="0" w:afterAutospacing="0" w:line="360" w:lineRule="auto"/>
        <w:ind w:left="0" w:firstLine="720"/>
        <w:jc w:val="both"/>
        <w:rPr>
          <w:rFonts w:ascii="Times New Roman" w:hAnsi="Times New Roman" w:cs="Times New Roman"/>
          <w:sz w:val="28"/>
          <w:szCs w:val="28"/>
        </w:rPr>
      </w:pPr>
      <w:r w:rsidRPr="00402218">
        <w:rPr>
          <w:rFonts w:ascii="Times New Roman" w:hAnsi="Times New Roman" w:cs="Times New Roman"/>
          <w:sz w:val="28"/>
          <w:szCs w:val="28"/>
        </w:rPr>
        <w:t>Дать обоснование принятию Таможенного Кодекса в 2003г.</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3. Рассмотреть </w:t>
      </w:r>
      <w:r w:rsidRPr="00402218">
        <w:rPr>
          <w:rFonts w:ascii="Times New Roman" w:hAnsi="Times New Roman" w:cs="Times New Roman"/>
          <w:sz w:val="28"/>
          <w:szCs w:val="28"/>
        </w:rPr>
        <w:t>концепцию развития таможенной политики РФ</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b/>
          <w:bCs/>
          <w:sz w:val="28"/>
          <w:szCs w:val="28"/>
        </w:rPr>
        <w:t>Объектом</w:t>
      </w:r>
      <w:r w:rsidRPr="00402218">
        <w:rPr>
          <w:rFonts w:ascii="Times New Roman" w:eastAsia="Times New Roman" w:hAnsi="Times New Roman" w:cs="Times New Roman"/>
          <w:sz w:val="28"/>
          <w:szCs w:val="28"/>
        </w:rPr>
        <w:t xml:space="preserve"> исследования определены таможенная политика России</w:t>
      </w:r>
    </w:p>
    <w:p w:rsidR="00C73856" w:rsidRPr="00402218" w:rsidRDefault="00C73856" w:rsidP="00402218">
      <w:pPr>
        <w:shd w:val="clear" w:color="auto" w:fill="FFFFFF"/>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eastAsia="Times New Roman" w:hAnsi="Times New Roman" w:cs="Times New Roman"/>
          <w:b/>
          <w:bCs/>
          <w:sz w:val="28"/>
          <w:szCs w:val="28"/>
        </w:rPr>
        <w:t>Предметом</w:t>
      </w:r>
      <w:r w:rsidRPr="00402218">
        <w:rPr>
          <w:rFonts w:ascii="Times New Roman" w:eastAsia="Times New Roman" w:hAnsi="Times New Roman" w:cs="Times New Roman"/>
          <w:sz w:val="28"/>
          <w:szCs w:val="28"/>
        </w:rPr>
        <w:t xml:space="preserve"> исследования является процесс выработки и реализации новой таможенной политики в России.</w:t>
      </w:r>
    </w:p>
    <w:p w:rsidR="00C73856" w:rsidRPr="00402218" w:rsidRDefault="00402218" w:rsidP="00402218">
      <w:pPr>
        <w:pStyle w:val="4"/>
        <w:spacing w:before="0"/>
        <w:ind w:firstLine="720"/>
        <w:jc w:val="both"/>
        <w:rPr>
          <w:rFonts w:eastAsia="Arial Unicode MS"/>
          <w:szCs w:val="28"/>
        </w:rPr>
      </w:pPr>
      <w:bookmarkStart w:id="1" w:name="_Toc184889722"/>
      <w:r w:rsidRPr="00402218">
        <w:rPr>
          <w:rFonts w:eastAsia="Arial Unicode MS"/>
          <w:szCs w:val="28"/>
        </w:rPr>
        <w:br w:type="page"/>
      </w:r>
      <w:r w:rsidR="00C73856" w:rsidRPr="00402218">
        <w:rPr>
          <w:rFonts w:eastAsia="Arial Unicode MS"/>
          <w:szCs w:val="28"/>
        </w:rPr>
        <w:t>1. Таможенная политика РФ в 90-е годы</w:t>
      </w:r>
      <w:bookmarkEnd w:id="1"/>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Моментом начала формирования и развития современного таможенного дела в нашей стране следует считать конец 1991 г. Распад СССР на ряд независимых государств, становление новой российской государственности, либерализация внешнеэкономической деятельности и ряд других факторов нашли свое отражение и в изменении таможенной политики обновленной России и вызвали необходимость преобразования таможенной системы в соответствии с существующими реалиями. Период реформ в Российской Федерации, процесс ее становления на качественно новой основе, адекватной задачам демократизации общественной жизни, привел к появлению новой экономической, общественно-политической реальности. Формирование нового Российского государства повлекло за собой обновление и таможенного дела.</w:t>
      </w:r>
      <w:r w:rsidRPr="00402218">
        <w:rPr>
          <w:rStyle w:val="ac"/>
          <w:rFonts w:ascii="Times New Roman" w:eastAsia="Times New Roman" w:hAnsi="Times New Roman"/>
          <w:sz w:val="28"/>
          <w:szCs w:val="28"/>
        </w:rPr>
        <w:footnoteReference w:id="1"/>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это время были предприняты попытки трансформировать таможенную службу государства-монополиста в новую управленческую структуру, ориентированную на функционирование в рыночных условиях, в результате чего приняты Таможенный кодекс СССР 1991 г. и Закон СССР «О таможенном тарифе». Эти документы внесли существенные изменения в организацию таможенного дела в стране и были важным правовым инструментом регулирования внешнеэкономической деятельности в тот период.</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Характеризуя в целом в значительной мере необходимый период, предшествовавший принятию в 1993 году двух основополагающих законов – Таможенного кодекса РФ (далее ТК) и Закона РФ «О таможенном тарифе», необходимо подчеркнуть: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Во-первых, в период после принятия в 1991 году Таможенного кодекса СССР и Закона СССР «О таможенном тарифе» и вплоть до середины 1993 года в России таможенное дело во многом регулировалось названными выше союзными законами в части в части не противоречащей новому российскому таможенному законодательству.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Во-вторых, в этот период многие аспекты таможенного дела в РФ регламентировались соответствующими нормативными указами Президента и постановлениями Правительства, приказами, положениями и инструкциями ГТК. Некоторые из актов подчас были недолговечными, непоследовательными и противоречивыми, но «вакуума» в правовом регулировании таможенного дела не было, шел постепенный и сложный, но в то же время целенаправленный процесс формирования основ российского таможенного права.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При разработке таможенных кодексов СССР и Российской Федерации в 1990-1993 гг. и работе над совершенствованием Таможенного Кодекса РФ понятие "таможенная политика" было в центре внимания и становилось предметом неоднократного обсуждения учеными и руководящими работниками таможенного ведомства почти на всех научно-практических конференциях, посвященных проблематике таможенного дела. В результате были предложены следующие определения таможенной политики: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 Таможенная политика - это выработанные государством экономические и административные меры: таможенные правила, методы и средства их применения в процессе регулирования движения товаров, капиталов, услуг, интеллектуальных и трудовых ресурса на внутренний и внешний рынок в интересах защиты и развития национальной экономики, наполнения государственного бюджета укрепления мирохозяйственных связей.</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2. Таможенная политика - это осуществляемая государством система мер, правил и процедур, регулирующих движение товаров через таможенную границу в интересах национальной экономики.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3. Таможенная политика - это система государственных мер и таможенный инструмент, направленный на регулирование внешней торговли и на защиту экономических интересов государства.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4. Таможенная политика - это осуществляемая государством система экономических и административных мер, таможенных правил и процедур, регулирующих движение через таможенную границ товаров, капиталов, услуг, интеллектуальных и трудовых ресурсов на внутренний и внешний рынок в интересах защиты и развития национальной экономики.</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ее интеграции в мировую экономику наполнения доходов государственного бюджета.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5. Таможенная политика - это система экономических и административных мер, призванная содействовать, с одной стороны, гармоничному вхождению экономики России в сложившуюся систему мирохозяйственных связей, с другой стороны - гармоничному развитию внутренней экономики, в том числе средствами "разумного протекционизма".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6. Таможенная политика - это система экономических, юридических и организационных мер, направленных на защиту национальных интересов России.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7. Таможенная политика - это реализация экономической политики государства методами и средствами таможенного регулирования, неизменными составляющими которого являются таможенные платежи и таможенный контроль.</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8. Таможенная политика - это совокупность мер по регулированию внешнеэкономической деятельности, определяемых целями правительства в области национальной экономики, населения и территории страны.</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9. Таможенная политика - это стратегическая линия государства, связанная с ввозом (вывозом) продукции.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10. Таможенная политика - это принципы поведения правительства в сфере таможенного дела, закрепленные в законодательных актах государства. Эти принципы касаются трех аспектов жизни страны:</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создания условий для развития национальной экономики;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защиты населения и природной среды от импорта вредных и опасных товаров и отходов производства;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наполнения доходной части бюджета.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11. Таможенная политика есть разработка принципов, стратегических целей государственной политики, а также определенных методов, средств и форм (мер) их достижения через деятельность таможенных органов.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12. Таможенная политика - это определение стратегических целей и принципов общегосударственной политики и их реализация с помощью мер (методов, средств, форм), применяемых в таможенных органах.</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13. Таможенная политика - это определенная, функционально присущая таможенным органам, деятельность в интересах государства.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14. Таможенная политика - это разработка и реализация законодательной основы, развитие структуры органов таможни с целью обеспечения оптимального регулирования внешней торговли материальными, трудовыми, интеллектуальными и другими ресурсами, извлечение максимальной налоговой прибыли, при соблюдении условий всесторонней защиты экономических, социальных и других интересов своего государства и учете интересов стран - торговых партнеров.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15. Таможенная политика - это выработанные государством экономические и административные меры, таможенные правила, методы и средства их применения в процессе регулирования движения товаров, капиталов, услуг, интеллектуальных и трудовых ресурсов на внутренний и внешний рынок в интересах защиты и развития национальной экономики, наполнения государственного бюджета, укрепления мирохозяйственных связен.</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16. Таможенная политика - составная часть внутренней и внешней политики государства, комплекс мер, осуществляемых в целях обеспечения наиболее эффективного использования инструментов таможенного контроля и регулирования товарообмена на таможенной территории, участия в реализации торгово-политических задач по защите внутреннего рынка, стимулирования развития национальной экономики.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17. Таможенная политика - это система политико-правовых, экономических, организационных и иных широкомасштабных мероприятий, направленных на реализацию и защиту внутри- и внешнеэкономических интересов в целях динамичного осуществления политических и социально-экономических преобразований в условиях формирования рыночных отношений.</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Становление таможенной службы РФ - неотъемлемая составная часть формирования российского государства и обеспечения</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его суверенитета. Правовой основой этого процесса стал Указ Президента РФ «О государственном таможенном комитете РСФСР».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в таможенном деле, эффективное функционирование таможенных органов.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Деятельность ГТК России в эти годы осуществлялась в соответствии с Положением о ГТК России, утвержденным Указом Президента РФ от 25 октября 1994 г. N 2014</w:t>
      </w:r>
      <w:r w:rsidRPr="00402218">
        <w:rPr>
          <w:rStyle w:val="ac"/>
          <w:rFonts w:ascii="Times New Roman" w:eastAsia="Times New Roman" w:hAnsi="Times New Roman"/>
          <w:sz w:val="28"/>
          <w:szCs w:val="28"/>
        </w:rPr>
        <w:footnoteReference w:id="2"/>
      </w:r>
      <w:r w:rsidRPr="00402218">
        <w:rPr>
          <w:rFonts w:ascii="Times New Roman" w:eastAsia="Times New Roman" w:hAnsi="Times New Roman" w:cs="Times New Roman"/>
          <w:sz w:val="28"/>
          <w:szCs w:val="28"/>
        </w:rPr>
        <w:t xml:space="preserve">(в ред. </w:t>
      </w:r>
      <w:r w:rsidRPr="00402218">
        <w:rPr>
          <w:rStyle w:val="td"/>
          <w:rFonts w:ascii="Times New Roman" w:eastAsia="Times New Roman" w:hAnsi="Times New Roman"/>
          <w:sz w:val="28"/>
          <w:szCs w:val="28"/>
        </w:rPr>
        <w:t>Указа Президента РФ от 16.09.99 N 1235</w:t>
      </w:r>
      <w:r w:rsidRPr="00402218">
        <w:rPr>
          <w:rFonts w:ascii="Times New Roman" w:eastAsia="Times New Roman" w:hAnsi="Times New Roman" w:cs="Times New Roman"/>
          <w:sz w:val="28"/>
          <w:szCs w:val="28"/>
        </w:rPr>
        <w:t>)</w:t>
      </w:r>
      <w:r w:rsidRPr="00402218">
        <w:rPr>
          <w:rStyle w:val="td"/>
          <w:rFonts w:ascii="Times New Roman" w:eastAsia="Times New Roman" w:hAnsi="Times New Roman"/>
          <w:sz w:val="28"/>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ГТК России решало возложенные на него задачи-функции как непосредственно, так и через региональные таможенные управления, таможни и таможенные посты и иные учреждения, входящие в систему таможенных органов (таможенные лаборатории, подведомственные ГТК России учебные заведения, научно-исследовательские учреждения, вычислительные центры и т.д.).</w:t>
      </w:r>
      <w:r w:rsidRPr="00402218">
        <w:rPr>
          <w:rStyle w:val="ac"/>
          <w:rFonts w:ascii="Times New Roman" w:eastAsia="Times New Roman" w:hAnsi="Times New Roman"/>
          <w:sz w:val="28"/>
          <w:szCs w:val="28"/>
        </w:rPr>
        <w:footnoteReference w:id="3"/>
      </w:r>
    </w:p>
    <w:p w:rsidR="00C73856" w:rsidRPr="00402218" w:rsidRDefault="00C73856" w:rsidP="00402218">
      <w:pPr>
        <w:pStyle w:val="af0"/>
        <w:ind w:firstLine="720"/>
        <w:rPr>
          <w:szCs w:val="28"/>
        </w:rPr>
      </w:pPr>
      <w:r w:rsidRPr="00402218">
        <w:rPr>
          <w:spacing w:val="1"/>
          <w:szCs w:val="28"/>
        </w:rPr>
        <w:t xml:space="preserve">Становление и обеспечение дееспособности системы таможенных органов непосредственно связаны с принятием в 1993 г. Закона РФ «О </w:t>
      </w:r>
      <w:r w:rsidRPr="00402218">
        <w:rPr>
          <w:szCs w:val="28"/>
        </w:rPr>
        <w:t xml:space="preserve">таможенном тарифе» и Таможенного кодекса РФ. Была создана </w:t>
      </w:r>
      <w:r w:rsidRPr="00402218">
        <w:rPr>
          <w:spacing w:val="1"/>
          <w:szCs w:val="28"/>
        </w:rPr>
        <w:t xml:space="preserve">российская правовая база осуществления таможенной политики и таможенного дела в новых условиях. Эти законодательные акты закрепили приоритет фискально - </w:t>
      </w:r>
      <w:r w:rsidRPr="00402218">
        <w:rPr>
          <w:spacing w:val="11"/>
          <w:szCs w:val="28"/>
        </w:rPr>
        <w:t xml:space="preserve">экономических, контрольных, правоохранительных и защитных функций таможенных органов. Они получили статус правоохранительных органов, </w:t>
      </w:r>
      <w:r w:rsidRPr="00402218">
        <w:rPr>
          <w:spacing w:val="6"/>
          <w:szCs w:val="28"/>
        </w:rPr>
        <w:t>полномочия на осуществление валютного контроля. С</w:t>
      </w:r>
      <w:r w:rsidRPr="00402218">
        <w:rPr>
          <w:spacing w:val="5"/>
          <w:szCs w:val="28"/>
        </w:rPr>
        <w:t xml:space="preserve"> </w:t>
      </w:r>
      <w:r w:rsidRPr="00402218">
        <w:rPr>
          <w:szCs w:val="28"/>
        </w:rPr>
        <w:t xml:space="preserve">первых шагов своей деятельности таможенная служба России активно включилась </w:t>
      </w:r>
      <w:r w:rsidRPr="00402218">
        <w:rPr>
          <w:spacing w:val="4"/>
          <w:szCs w:val="28"/>
        </w:rPr>
        <w:t xml:space="preserve">международное сотрудничество по вопросам торгово-тарифной политики </w:t>
      </w:r>
      <w:r w:rsidRPr="00402218">
        <w:rPr>
          <w:szCs w:val="28"/>
        </w:rPr>
        <w:t xml:space="preserve">таможенного дела. </w:t>
      </w:r>
    </w:p>
    <w:p w:rsidR="00402218" w:rsidRDefault="00402218" w:rsidP="00402218">
      <w:pPr>
        <w:pStyle w:val="4"/>
        <w:spacing w:before="0"/>
        <w:ind w:firstLine="720"/>
        <w:jc w:val="both"/>
        <w:rPr>
          <w:rFonts w:eastAsia="Arial Unicode MS"/>
          <w:szCs w:val="28"/>
          <w:lang w:val="en-US"/>
        </w:rPr>
      </w:pPr>
      <w:bookmarkStart w:id="2" w:name="_Toc184889723"/>
    </w:p>
    <w:p w:rsidR="00C73856" w:rsidRPr="00402218" w:rsidRDefault="00C73856" w:rsidP="00402218">
      <w:pPr>
        <w:pStyle w:val="4"/>
        <w:spacing w:before="0"/>
        <w:ind w:firstLine="720"/>
        <w:jc w:val="both"/>
        <w:rPr>
          <w:rFonts w:eastAsia="Arial Unicode MS"/>
          <w:szCs w:val="28"/>
        </w:rPr>
      </w:pPr>
      <w:r w:rsidRPr="00402218">
        <w:rPr>
          <w:rFonts w:eastAsia="Arial Unicode MS"/>
          <w:szCs w:val="28"/>
        </w:rPr>
        <w:t>2. Таможенный Кодекс 2003г.</w:t>
      </w:r>
      <w:bookmarkEnd w:id="2"/>
      <w:r w:rsidRPr="00402218">
        <w:rPr>
          <w:rFonts w:eastAsia="Arial Unicode MS"/>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2002 г. одним из основных направлений развития государственной таможенной службы России стали: максимально широкое внедрение новых таможенных и информационных технологий, дифференцированная работа с участниками внешнеэкономической деятельности, дебюрократизация таможенных процедур и повышение качества таможенного администрирования в том числе и с использованием новых технологий.</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В конце января 2002 г. ГТК РФ одобрил в целом "Основные направления совершенствования таможенного контроля и таможенного оформления в 2003–2008 гг.". Основное звено этого проекта – переход от пятиступенчатого контроля к одноступенчатому, когда организация таможенного контроля ведется по принципу "одного окна". Проект рассчитан на 6 лет, и в 2002 году была создана основа для его реализации. </w:t>
      </w:r>
      <w:r w:rsidRPr="00402218">
        <w:rPr>
          <w:rStyle w:val="ac"/>
          <w:rFonts w:ascii="Times New Roman" w:eastAsia="Times New Roman" w:hAnsi="Times New Roman"/>
          <w:sz w:val="28"/>
          <w:szCs w:val="28"/>
        </w:rPr>
        <w:footnoteReference w:id="4"/>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eastAsia="Times New Roman" w:hAnsi="Times New Roman" w:cs="Times New Roman"/>
          <w:sz w:val="28"/>
          <w:szCs w:val="28"/>
        </w:rPr>
        <w:t>В целом 2002г. год стал переломным в работе таможенной службы России, т.к. в этом году завершилась реализация целевой программы развития таможенной службы РФ на 2001–2003 гг. и были заложены основы ее работы на 2004–2008 гг. В 2003 г., а также началась реализация "Программы социально-экономической политики Правительства РФ на среднесрочную перспективу (2003–2005 гг.)", где вопросы развития таможенной службы были выделены в специальный раздел "Модернизация таможенной системы".</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Новый Таможенный кодекс подвел черту под десятилетней историей своего предшественника - Таможенного кодекса РФ 1993 г. Работа над созданием нового Кодекса началась давно, она на некоторое время приостанавливалась, затем возобновлялась и, наконец, завершилась в 2003 году. Это десятилетие убедило всех в том, что таможенное законодательство касается не какой-то ограниченной прослойки общества, не какого-то отдельного сектора экономики, а непосредственно затрагивает интересы большей части российского общества.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Принятый Таможенный кодекс вступил в силу 1 января 2004 г.</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Каковы причины пересмотра основных положений таможенного законодательства и принятия нового Таможенного кодекса?</w:t>
      </w:r>
      <w:r w:rsidRPr="00402218">
        <w:rPr>
          <w:rStyle w:val="ac"/>
          <w:rFonts w:ascii="Times New Roman" w:eastAsia="Times New Roman" w:hAnsi="Times New Roman"/>
          <w:sz w:val="28"/>
          <w:szCs w:val="28"/>
        </w:rPr>
        <w:footnoteReference w:id="5"/>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В первую очередь следовало максимально приблизить российское законодательство к сформировавшимся в таможенной сфере международным стандартам. В международной торговле «правила игры», безусловно, должны быть унифицированы. Существенные различия между национальным законодательством и так называемым международным таможенным правом тормозили поступательное интегрирование России в систему мирохозяйственных связей, не позволяют нашему государству получить максимальные преимущества, предоставляемые ему системой международного разделения труда.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Среди наиболее значимых международно-правовых актов следует упомянуть Генеральное соглашение о тарифах и торговле и Киотскую конвенцию об упрощении и гармонизации таможенных процедур (последняя принята под эгидой Совета таможенного сотрудничества — ныне Всемирная таможенная организация).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Российская Федерация оставалась за чертой участников упомянутых международных договоров. Перенесение унифицированных таможенных правил во внутреннее законодательство позволило свести к минимуму негативные последствия неучастия России в важнейших договорах международного и таможенного права.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Другая причина принятия нового Таможенного кодекса — значительные изменения, произошедшие в «смежных» отраслях законодательства. Таможенный кодекс 1993 г. готовился еще до принятия действующей Конституции (отсюда, например, и упоминания о льготах вице-президенту и т.д.). Принятые за время действия Таможенного кодекса 1993 г. Налоговый кодекс, Бюджетный кодекс, Кодекс об административных правонарушениях со всей остротой поставили вопрос о внесении изменений в законодательный каркас таможенного регулирования.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Наконец, за последние годы изменился взгляд таможенного ведомства на его взаимоотношения с участниками внешнеэкономической деятельности. Упростились многие таможенные процедуры, «зеленый коридор» открылся для добросовестных участников ВЭД, зарекомендовавших себя за годы сотрудничества с таможенными органами.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Главная ценность этого законодательного акта. С его помощью осуществлен прорыв в создании четко прописанных и стабильных правил, по которым участник внешнеэкономической деятельности или лицо, пересекающее таможенную границу, строят свои отношения с таможенными органами. Существенно сокращается сфера, где таможня действует по своему усмотрению.</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Более четко прописаны таможенные процедуры. Особое внимание своей новизной привлекает глава Таможенного кодекса об участии таможенных органов в защите прав и законных интересов правообладателей. Много позитивных изменений произошло и в такой традиционной области таможенного дела как декларирование.</w:t>
      </w:r>
      <w:r w:rsidRPr="00402218">
        <w:rPr>
          <w:rStyle w:val="ac"/>
          <w:rFonts w:ascii="Times New Roman" w:eastAsia="Times New Roman" w:hAnsi="Times New Roman"/>
          <w:sz w:val="28"/>
          <w:szCs w:val="28"/>
        </w:rPr>
        <w:footnoteReference w:id="6"/>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На момент принятия в 2003 г. Кодекса продолжал действовать Закон РФ от 21 мая 1993 г. N 5003-1 "О таможенном тарифе", который также является актом таможенного законодательства (хотя формально не является "федеральным законом, принятым в соответствии с ТК РФ"). ТК РФ, не отменив упомянутый Закон, фактически подтвердил его статус как акта таможенного законодательства.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По сравнению с ТК 1993 г. Таможенный кодекс 2003г. использует понятие "законодательство" в собственном (узком) смысле слова, т.е. как совокупность законодательных актов. До этого в практике таможенного регулирования понятие таможенного законодательства трактовалось расширительно: в его состав наряду с законами включались и отдельные подзаконные акты (указы Президента РФ, постановления Правительства РФ и т.д.). В кодексе (п. 2 ст. 3. ) законодатель четко определил состав таможенного законодательства: ТК РФ и федеральные законы, принятые в соответствии с ним.</w:t>
      </w:r>
    </w:p>
    <w:p w:rsidR="00C73856" w:rsidRPr="00402218" w:rsidRDefault="00C73856" w:rsidP="00402218">
      <w:pPr>
        <w:pStyle w:val="af0"/>
        <w:ind w:firstLine="720"/>
        <w:rPr>
          <w:szCs w:val="28"/>
        </w:rPr>
      </w:pPr>
      <w:r w:rsidRPr="00402218">
        <w:rPr>
          <w:szCs w:val="28"/>
        </w:rPr>
        <w:t>Для финансирования мероприятий, связанных с разработкой и реализацией таможенной политики РФ в соответствии с ТК РФ образован государственный внебюджетный фонд. Средства Фонда входят в состав федерального бюджета с сохранением его целевого назначения и использования и изъятию не подлежат.</w:t>
      </w:r>
      <w:r w:rsidRPr="00402218">
        <w:rPr>
          <w:rStyle w:val="ac"/>
          <w:szCs w:val="28"/>
        </w:rPr>
        <w:footnoteReference w:id="7"/>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Основными направлениями использования средств фонда являются: разработка и реализация таможенной политики РФ, осуществление таможенного контроля и оформления, ведение таможенной статистики РФ, обеспечение функционирования и развития таможенных учреждений, проведение научно-исследовательских и опытно-конструкторских работ, погашение долгосрочных и краткосрочных кредитов банков и др.</w:t>
      </w:r>
      <w:r w:rsidRPr="00402218">
        <w:rPr>
          <w:rStyle w:val="ac"/>
          <w:rFonts w:ascii="Times New Roman" w:eastAsia="Times New Roman" w:hAnsi="Times New Roman"/>
          <w:sz w:val="28"/>
          <w:szCs w:val="28"/>
        </w:rPr>
        <w:footnoteReference w:id="8"/>
      </w:r>
      <w:r w:rsidR="00402218">
        <w:rPr>
          <w:rFonts w:ascii="Times New Roman" w:eastAsia="Times New Roman" w:hAnsi="Times New Roman" w:cs="Times New Roman"/>
          <w:sz w:val="28"/>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hAnsi="Times New Roman" w:cs="Times New Roman"/>
          <w:sz w:val="28"/>
          <w:szCs w:val="28"/>
        </w:rPr>
        <w:t xml:space="preserve">В 2004г., в соответствии с </w:t>
      </w:r>
      <w:r w:rsidRPr="00402218">
        <w:rPr>
          <w:rFonts w:ascii="Times New Roman" w:eastAsia="Times New Roman" w:hAnsi="Times New Roman" w:cs="Times New Roman"/>
          <w:sz w:val="28"/>
          <w:szCs w:val="28"/>
        </w:rPr>
        <w:t>Указом Президента Российской Федерации от 9 марта 2004 года №314 "О системе и структуре федеральных органов исполнительной власти"</w:t>
      </w:r>
      <w:r w:rsidRPr="00402218">
        <w:rPr>
          <w:rStyle w:val="ac"/>
          <w:rFonts w:ascii="Times New Roman" w:eastAsia="Times New Roman" w:hAnsi="Times New Roman"/>
          <w:sz w:val="28"/>
          <w:szCs w:val="28"/>
        </w:rPr>
        <w:footnoteReference w:id="9"/>
      </w:r>
      <w:r w:rsidRPr="00402218">
        <w:rPr>
          <w:rFonts w:ascii="Times New Roman" w:eastAsia="Times New Roman" w:hAnsi="Times New Roman" w:cs="Times New Roman"/>
          <w:sz w:val="28"/>
          <w:szCs w:val="28"/>
        </w:rPr>
        <w:t xml:space="preserve">, </w:t>
      </w:r>
      <w:r w:rsidRPr="00402218">
        <w:rPr>
          <w:rStyle w:val="td"/>
          <w:rFonts w:ascii="Times New Roman" w:eastAsia="Times New Roman" w:hAnsi="Times New Roman"/>
          <w:sz w:val="28"/>
          <w:szCs w:val="28"/>
        </w:rPr>
        <w:t xml:space="preserve">Государственный таможенный комитет Российской Федерации был преобразован в Федеральную таможенную службу (ФТС), передав его функции по принятию нормативных правовых актов в установленной сфере деятельности Министерству экономического развития и торговли Российской Федерации.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Постановлением </w:t>
      </w:r>
      <w:r w:rsidRPr="00402218">
        <w:rPr>
          <w:rStyle w:val="td"/>
          <w:rFonts w:ascii="Times New Roman" w:eastAsia="Times New Roman" w:hAnsi="Times New Roman"/>
          <w:sz w:val="28"/>
          <w:szCs w:val="28"/>
        </w:rPr>
        <w:t xml:space="preserve">Правительства Российской Федерации </w:t>
      </w:r>
      <w:r w:rsidRPr="00402218">
        <w:rPr>
          <w:rFonts w:ascii="Times New Roman" w:eastAsia="Times New Roman" w:hAnsi="Times New Roman" w:cs="Times New Roman"/>
          <w:sz w:val="28"/>
          <w:szCs w:val="28"/>
        </w:rPr>
        <w:t>от 21 августа 2004 г. № 429 "О Федеральной таможенной службе"</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было у</w:t>
      </w:r>
      <w:r w:rsidRPr="00402218">
        <w:rPr>
          <w:rStyle w:val="td"/>
          <w:rFonts w:ascii="Times New Roman" w:eastAsia="Times New Roman" w:hAnsi="Times New Roman"/>
          <w:sz w:val="28"/>
          <w:szCs w:val="28"/>
        </w:rPr>
        <w:t>тверждено Положение о Федеральной таможенной службе.</w:t>
      </w:r>
    </w:p>
    <w:p w:rsidR="00C73856" w:rsidRPr="00402218" w:rsidRDefault="00C73856" w:rsidP="00402218">
      <w:pPr>
        <w:pStyle w:val="a8"/>
        <w:ind w:firstLine="720"/>
        <w:rPr>
          <w:rFonts w:eastAsia="Arial Unicode MS"/>
          <w:szCs w:val="28"/>
        </w:rPr>
      </w:pPr>
    </w:p>
    <w:p w:rsidR="00C73856" w:rsidRPr="00402218" w:rsidRDefault="00C73856" w:rsidP="00402218">
      <w:pPr>
        <w:pStyle w:val="4"/>
        <w:spacing w:before="0"/>
        <w:ind w:firstLine="720"/>
        <w:jc w:val="both"/>
        <w:rPr>
          <w:rFonts w:eastAsia="Arial Unicode MS"/>
          <w:szCs w:val="28"/>
        </w:rPr>
      </w:pPr>
      <w:bookmarkStart w:id="3" w:name="_Toc184889724"/>
      <w:r w:rsidRPr="00402218">
        <w:rPr>
          <w:rFonts w:eastAsia="Arial Unicode MS"/>
          <w:szCs w:val="28"/>
        </w:rPr>
        <w:t>3. Концепция развития таможенной политики РФ</w:t>
      </w:r>
      <w:bookmarkEnd w:id="3"/>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Указом Президента РФ от 11 мая 2006 года N 473 "Вопросы Федеральной таможенной службы"</w:t>
      </w:r>
      <w:r w:rsidRPr="00402218">
        <w:rPr>
          <w:rStyle w:val="ac"/>
          <w:rFonts w:ascii="Times New Roman" w:eastAsia="Times New Roman" w:hAnsi="Times New Roman"/>
          <w:sz w:val="28"/>
          <w:szCs w:val="28"/>
        </w:rPr>
        <w:footnoteReference w:id="10"/>
      </w:r>
      <w:r w:rsidRPr="00402218">
        <w:rPr>
          <w:rFonts w:ascii="Times New Roman" w:eastAsia="Times New Roman" w:hAnsi="Times New Roman" w:cs="Times New Roman"/>
          <w:sz w:val="28"/>
          <w:szCs w:val="28"/>
        </w:rPr>
        <w:t xml:space="preserve"> установлено, что Федеральная таможенная службы РФ передается из ведения Министерства экономического развития и торговли РФ в непосредственное подчинение Правительству РФ.</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Функции Министерства экономического развития и торговли РФ по выработке государственной политики и нормативно-правовому регулированию в области таможенного дела переданы полностью ФТС.</w:t>
      </w:r>
      <w:r w:rsidR="00402218">
        <w:rPr>
          <w:rFonts w:ascii="Times New Roman" w:eastAsia="Times New Roman" w:hAnsi="Times New Roman" w:cs="Times New Roman"/>
          <w:sz w:val="28"/>
          <w:szCs w:val="28"/>
        </w:rPr>
        <w:t xml:space="preserve"> </w:t>
      </w:r>
    </w:p>
    <w:p w:rsidR="00C73856" w:rsidRPr="00402218" w:rsidRDefault="00C73856" w:rsidP="00402218">
      <w:pPr>
        <w:pStyle w:val="af0"/>
        <w:ind w:firstLine="720"/>
        <w:rPr>
          <w:b/>
          <w:bCs/>
          <w:szCs w:val="28"/>
        </w:rPr>
      </w:pPr>
      <w:r w:rsidRPr="00402218">
        <w:rPr>
          <w:rStyle w:val="af3"/>
          <w:b w:val="0"/>
          <w:bCs w:val="0"/>
          <w:szCs w:val="28"/>
        </w:rPr>
        <w:t xml:space="preserve">Постановлением Правительства Российской Федерации от 26 июля 2006 г. № 459 утверждено Положение о Федеральной таможенной службе.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систему таможенных органов РФ по состоянию на 1 января 2007г входят 7 региональных таможенных управлений, 4 специализированных региональных таможенных управления, 136 таможен, 707 таможенных постов, 6 учреждений, находящихся в ведении ФТС России, и 7 представительств ФТС России за рубежом.</w:t>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hAnsi="Times New Roman" w:cs="Times New Roman"/>
          <w:sz w:val="28"/>
          <w:szCs w:val="28"/>
        </w:rPr>
        <w:t xml:space="preserve">Постоянное внимание Правительства РФ к развитию таможенной политики и совершенствованию таможенных органов приносит свои результаты. </w:t>
      </w:r>
      <w:r w:rsidRPr="00402218">
        <w:rPr>
          <w:rFonts w:ascii="Times New Roman" w:eastAsia="Times New Roman" w:hAnsi="Times New Roman" w:cs="Times New Roman"/>
          <w:sz w:val="28"/>
          <w:szCs w:val="28"/>
        </w:rPr>
        <w:t xml:space="preserve">Федеральная таможенная служба России в 2006г. перечислила в доход федерального бюджета более 2,86 трлн. руб (почти 105,3 млрд. долл). Увеличенное плановое задание перевыполнено на 0,4 %. При этом первоначальное задание, установленное в соответствии с федеральным законом "О федеральном бюджете на 2006 год", перевыполнено на 34 %. </w:t>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eastAsia="Times New Roman" w:hAnsi="Times New Roman" w:cs="Times New Roman"/>
          <w:sz w:val="28"/>
          <w:szCs w:val="28"/>
        </w:rPr>
        <w:t>В среднем за 2006 г. ежедневные перечисления таможенных платежей в федеральный бюджет составили почти 426 млн. долл. Если в январе 2006 г ежедневные перечисления таможенных платежей в федеральный бюджет составляли 381 млн. долл, то в декабре 2006 г - 505 млн. долл.</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Каждый рубль, вложенный в развитие таможенной системы в 2006 г, дал отдачу в 79,9 руб. Если в 2005 г каждый таможенник обеспечил перечисление в федеральный бюджет 33,27 млн. руб.</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при средних затратах на его содержание в 396,5 тыс. руб. , то в 2006 г поступления в федеральный бюджет в расчете на одного таможенника увеличились в 1,34 раза - до 44,62 млн. руб. при затратах в 558,4 тыс. руб.</w:t>
      </w:r>
      <w:r w:rsidRPr="00402218">
        <w:rPr>
          <w:rStyle w:val="ac"/>
          <w:rFonts w:ascii="Times New Roman" w:eastAsia="Times New Roman" w:hAnsi="Times New Roman"/>
          <w:sz w:val="28"/>
          <w:szCs w:val="28"/>
        </w:rPr>
        <w:t xml:space="preserve"> </w:t>
      </w:r>
      <w:r w:rsidRPr="00402218">
        <w:rPr>
          <w:rStyle w:val="ac"/>
          <w:rFonts w:ascii="Times New Roman" w:eastAsia="Times New Roman" w:hAnsi="Times New Roman"/>
          <w:sz w:val="28"/>
          <w:szCs w:val="28"/>
        </w:rPr>
        <w:footnoteReference w:id="11"/>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b/>
          <w:bCs/>
          <w:sz w:val="28"/>
          <w:szCs w:val="28"/>
        </w:rPr>
        <w:t>Первой</w:t>
      </w:r>
      <w:r w:rsidRPr="00402218">
        <w:rPr>
          <w:rFonts w:ascii="Times New Roman" w:eastAsia="Times New Roman" w:hAnsi="Times New Roman" w:cs="Times New Roman"/>
          <w:sz w:val="28"/>
          <w:szCs w:val="28"/>
        </w:rPr>
        <w:t xml:space="preserve"> стратегической целью ФТС является повышение уровня соблюдения таможенного законодательства РФ, обеспечение полноты и своевременности уплаты таможенных пошлин, налогов и таможенных сборов. Совершенствование системы контроля за соблюдением таможенного законодательства РФ в части правильности исчисления, полноты взимания таможенных платежей и своевременности их уплаты является необходимым условием выполнения контрольных показателей по перечислению таможенных платежей в федеральный бюджет. Степень достижения первой стратегической цели ФТС характеризуется следующими показателями.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1. Доля исков (заявлений) к таможенным органам, по которым судами приняты решения не в пользу таможенных органов, в общем числе исков (заявлений), рассмотренных судами.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Этот показатель характеризует деятельность таможенных органов, направленную на повышение эффективности защиты государственных интересов таможенными органами в судах. Значение показателя планируется снизить с 48,3% в 2006 г до 30% в 2010 г - за счет осуществления мер, направленных на сокращение доли принимаемых</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 xml:space="preserve">(совершаемых) неправомерных решений, действий (бездействия) должностных лиц таможенных органов в ходе производства таможенного оформления и проведения таможенного контроля, а также на улучшение работы по отстаиванию позиции таможенных органов в судах.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2. Доля дел об административных правонарушениях, по которым вынесены постановления о назначении наказания и не прекращено производство в связи с обжалованием (опротестованием), в общем количестве возбужденных дел. Этот показатель характеризует деятельность таможенных органов по повышению эффективности правоприменительной практики таможенных органов с целью обеспечения контроля за соблюдением таможенного законодательства РФ, а также по предупреждению, выявлению, пресечению и раскрытию правонарушений в таможенном деле. Планируется увеличение значения показателя с 70 % в 2006 г до 75 % в 2010 г - за счет повышения качества производства по делам об административных правонарушениях, отнесенным к компетенции таможенных органов.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3. Исполнение федерального закона о федеральном бюджете в части перечисления таможенных платежей. Этот показатель характеризует деятельность таможенных органов, направленную на безусловное исполнение установленных правительством РФ контрольных показателей по перечислению таможенных платежей в федеральный бюджет. Значение показателя должно быть не ниже 100 %, что обусловлено необходимостью своевременного и неукоснительного выполнения контрольных показателей по взиманию и перечислению таможенных платежей в доходную часть федерального бюджета.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4. Доля таможенных платежей, перечисленных участниками внешнеэкономической деятельности (ВЭД) с нарушением установленных нормативными документами сроков, в общей сумме перечисленных таможенных платежей в федеральный бюджет.</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Этот показатель характеризует деятельность таможенных органов по совершенствованию мер обеспечения уплаты таможенных платежей и дальнейшему развитию взаимодействия с плательщиками в вопросах совершенствования порядка уплаты таможенных платежей. Значение показателя в 2006 г составило 0,19 %. За счет осуществления постоянного мониторинга за своевременностью и полнотой перечисления денежных средств участниками ВЭД в доходную часть федерального бюджета и своевременного реагирования на возникающие нарушения участниками ВЭД требований, установленных законодательством РФ, планируется снизить значение показателя до 0,17 % в 2010 г.</w:t>
      </w:r>
      <w:r w:rsidR="00402218">
        <w:rPr>
          <w:rFonts w:ascii="Times New Roman" w:eastAsia="Times New Roman" w:hAnsi="Times New Roman" w:cs="Times New Roman"/>
          <w:sz w:val="28"/>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hAnsi="Times New Roman" w:cs="Times New Roman"/>
          <w:sz w:val="28"/>
          <w:szCs w:val="28"/>
        </w:rPr>
      </w:pPr>
      <w:r w:rsidRPr="00402218">
        <w:rPr>
          <w:rFonts w:ascii="Times New Roman" w:eastAsia="Times New Roman" w:hAnsi="Times New Roman" w:cs="Times New Roman"/>
          <w:b/>
          <w:bCs/>
          <w:sz w:val="28"/>
          <w:szCs w:val="28"/>
        </w:rPr>
        <w:t>Второй стратегической целью</w:t>
      </w:r>
      <w:r w:rsidRPr="00402218">
        <w:rPr>
          <w:rFonts w:ascii="Times New Roman" w:eastAsia="Times New Roman" w:hAnsi="Times New Roman" w:cs="Times New Roman"/>
          <w:sz w:val="28"/>
          <w:szCs w:val="28"/>
        </w:rPr>
        <w:t xml:space="preserve"> ФТС является повышение качества предоставления услуг таможенными органами, сокращение издержек участников внешнеэкономической деятельности и государства, связанных с таможенным оформлением и таможенным контролем. Определение этой стратегической цели обусловлено, прежде всего, необходимостью принятия мер по оптимизации, повышению прозрачности и сокращению времени для прохождения таможенного оформления и таможенного контроля участниками ВЭД, а также развития таможенной инфраструктуры, увеличения пропускной способности пунктов пропуска через государственную границу РФ, повышения уровня их технической оснащенности.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Степень достижения второй стратегической цели ФТС характеризуется следующими показателями.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 Время проведения таможенных процедур, необходимое для выпуска товаров при таможенном оформлении в месте их декларирования.</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Этот показатель характеризует деятельность таможенных органов, способствующую созданию наиболее благоприятных условий для законопослушных участников ВЭД при прохождении процедур таможенного оформления и таможенного контроля товаров, перемещаемых через таможенную границу РФ. Планируется сокращение значения показателя с 48 часов в 2006 г до 24 часов в 2010 г - за счет дальнейшего упрощения и ускорения проведения таможенных процедур путем активизации работы по внедрению электронного декларирования и предварительного информирования, постаудита и системы управления рисками, на основе внедрения современных информационных технологий и современных технических средств таможенного контроля.</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2. Время на выполнение таможенных процедур в автомобильных пунктах пропуска через государственную границу РФ.</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Этот показатель характеризует деятельность таможенных органов, направленную на создание наиболее оптимальных условий для добросовестных участников ВЭД при прохождении ими таможенных процедур в автомобильных пунктах пропуска через государственную границу РФ. Планируется сокращение значения показателя с 23 минут в 2006 г до 19 минут в 2010 г - за счет совершенствования организации таможенного оформления и таможенного контроля в автомобильных пунктах пропуска через государственную границу РФ, обустройства пунктов пропуска и оптимизации их размещения.</w:t>
      </w:r>
      <w:r w:rsidR="00402218">
        <w:rPr>
          <w:rFonts w:ascii="Times New Roman" w:eastAsia="Times New Roman" w:hAnsi="Times New Roman" w:cs="Times New Roman"/>
          <w:sz w:val="28"/>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3. Доля государственных услуг и функций, предоставляемых и исполняемых ФТС России в соответствии с административными регламентами, в общем объеме государственных услуг и функций ФТС России.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Планируется увеличение значения показателя с 14,2 % в 2007 г до 42,8 % в 2010 г за счет роста планируемых к разработке административных регламентов ФТС. Целевое значение показателя определено на основе количества административных регламентов, разрабатываемых в соответствии с поручением правительственной комиссией по проведению административной реформы.</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4. Кроме того, с 2008 г планируется использовать показатель "Доля участников внешнеэкономической деятельности, в целом положительно оценивающих работу таможенных органов, в общем числе опрошенных".</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Оценка участниками внешнеэкономической деятельности качества предоставляемых услуг по таможенному оформлению товаров должна осуществляться на основе результатов социологических исследований /опросов участников ВЭД/. В настоящее время ФТС решает вопрос по разработке автоматизированной программы мониторинга мнений участников ВЭД относительно деятельности таможенных органов.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b/>
          <w:bCs/>
          <w:sz w:val="28"/>
          <w:szCs w:val="28"/>
        </w:rPr>
        <w:t xml:space="preserve">Третья стратегическая цель </w:t>
      </w:r>
      <w:r w:rsidRPr="00402218">
        <w:rPr>
          <w:rFonts w:ascii="Times New Roman" w:eastAsia="Times New Roman" w:hAnsi="Times New Roman" w:cs="Times New Roman"/>
          <w:sz w:val="28"/>
          <w:szCs w:val="28"/>
        </w:rPr>
        <w:t>ФТС - выявление и пресечение контрабанды оружия, наркотиков, контрафактной продукции и иных товаров, запрещенных к ввозу в РФ, а также товаров, предметов и ценностей, вывоз которых за границу РФ запрещен. Влияние рассматриваемой стратегической цели на достижение стратегических целей развития страны выражается в непосредственном участии таможенных органов в решении наиболее острых проблем в области национальной безопасности.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сложившихся условиях первостепенное значение приобретает обеспечение эффективности таможенного контроля на основе повышения его целенаправленности и избирательности, совершенствование оперативно-розыскной деятельности, развитие международного и межведомственного взаимодействия в сфере борьбы с таможенными правонарушениями с целью реализации рамочных стандартов обеспечения безопасности и облегчения мировой торговли, принятых Всемирной таможенной организацией.</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Степень достижения третьей стратегической цели ФТС характеризуется следующими показателями.</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1. Доля ввезенных на таможенную территорию РФ товаров, по которым таможенными органами приняты меры по устранению нарушений законодательства РФ в общем количестве ввезенных товаров.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Этот показатель характеризует эффективность проводимых таможенными органами организационных, контрольных и правоохранительных мероприятий. Планируется увеличение значения показателя с 1,4 % в 2006 г до 1,6 % в 2010 г - за счет проведения профилактических мероприятий, направленных на снижение латентной преступности в таможенной сфере деятельности. Целевое значение показателя определено на основе анализа результатов работы таможенных органов в 2006 г по контролю за соблюдением таможенного законодательства в отношении ввезенных на таможенную территорию РФ товаров, а также на основании анализа данных таможенной статистики внешней торговли РФ.</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2. Доля уголовных дел, возбужденных таможенными органами, в общем объеме зарегистрированных преступлений, отнесенных к компетенции таможенных органов.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Этот показатель характеризует эффективность деятельности таможенных органов по предупреждению, выявлению, пресечению и раскрытию правонарушений в таможенном деле. Планируется увеличение значения показателя с 58 % в 2006 г до 66 % в 2010 г - за счет повышения качества производства по уголовным делам таможенными органами по преступлениям, отнесенным к их компетенции. </w:t>
      </w:r>
    </w:p>
    <w:p w:rsidR="00C73856" w:rsidRPr="00402218" w:rsidRDefault="00402218" w:rsidP="00402218">
      <w:pPr>
        <w:spacing w:before="0" w:beforeAutospacing="0" w:after="0" w:afterAutospacing="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bookmarkStart w:id="4" w:name="_Toc184889725"/>
      <w:r w:rsidR="00C73856" w:rsidRPr="00402218">
        <w:rPr>
          <w:rFonts w:ascii="Times New Roman" w:eastAsia="Times New Roman" w:hAnsi="Times New Roman" w:cs="Times New Roman"/>
          <w:b/>
          <w:sz w:val="28"/>
          <w:szCs w:val="28"/>
        </w:rPr>
        <w:t>Заключение</w:t>
      </w:r>
      <w:bookmarkEnd w:id="4"/>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Цель курсового исследования достигнута путём реализации поставленных задач. В результате проведённого исследования по теме "Развитие таможенной политики в РФ" можно сделать ряд выводов: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В послереволюционной России и в дальнейшем – в Союзе ССР – процесс становления и развития таможенного дела и законодательства о нем носил сложный и противоречивый характер. В целом в период – с октября 1917 года и по 1991 год – был накоплен ценный и полезный опыт, без учета которого невозможно создать и продолжать совершенствовать современное Российское таможенное право.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Статус таможенной службы, как и других таможенных институтов, функции, полномочия, организаци</w:t>
      </w:r>
      <w:r w:rsidRPr="00402218">
        <w:rPr>
          <w:rFonts w:ascii="Times New Roman" w:eastAsia="Times New Roman" w:hAnsi="Times New Roman" w:cs="Times New Roman"/>
          <w:sz w:val="28"/>
          <w:szCs w:val="28"/>
        </w:rPr>
        <w:softHyphen/>
        <w:t>онная структура не оставались неизменными в период с 1917 до 1991 года — они приспо</w:t>
      </w:r>
      <w:r w:rsidRPr="00402218">
        <w:rPr>
          <w:rFonts w:ascii="Times New Roman" w:eastAsia="Times New Roman" w:hAnsi="Times New Roman" w:cs="Times New Roman"/>
          <w:sz w:val="28"/>
          <w:szCs w:val="28"/>
        </w:rPr>
        <w:softHyphen/>
        <w:t>сабливались, видоизменялись (правда, не всегда достаточно динамично) в соответствии с внутренними и внешними эко</w:t>
      </w:r>
      <w:r w:rsidRPr="00402218">
        <w:rPr>
          <w:rFonts w:ascii="Times New Roman" w:eastAsia="Times New Roman" w:hAnsi="Times New Roman" w:cs="Times New Roman"/>
          <w:sz w:val="28"/>
          <w:szCs w:val="28"/>
        </w:rPr>
        <w:softHyphen/>
        <w:t xml:space="preserve">номическими интересами и потребностями государства.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Таможенная служба не избежала многочисленных реорганизаций и сокращений штатной численности, которые в эти годы.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Структура таможенных органов, сложившаяся во второй половине 30-х годов и получившая юридическое закрепление в Таможенном кодексе 1964 года, с очень незначительными изменениями сохранялась вплоть до середины 80-х годов.</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Одним из приоритетных направлений внешнеэкономической и торгово-тарифной политики СССР стало сотрудничество с социалистическими странами Восточной Европы в рамках Совета экономической взаимопомощи - СЭВ - межправительственной экономической организации, созданной в 1949 году. Между таможенными службами этих стран были заключены двух- и многосторонние договора и соглашения о сотрудничестве и взаимопомощи, унификации таможенного законодательства. Координацию действий в сфере таможенной политики и таможенного дела осуществляли ежегодные конференции руководителей таможенных ведомств социалистических. Усиливались тенденции либерализации погранично-таможенного режима.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В период внешнеэкономической реформы (1986-1991годы) начинается новый этап развития таможенной системы, особенности которого связаны с попыткой трансформировать таможенные службы государства-монополиста в новую управленческую структуру, ориентированную на функционирование в условиях свободного рынка и демократического режима.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Логическое завершение данного этапа – принятие в 1991 году нового Таможенного кодекса и Закона СССР «О таможенном тарифе». Несмотря на известный радикализм этих законодательных актов, создать принципиально новую таможенную систему на практике так и не удалось. Срок действия Таможенного кодекса СССР 1991 года и закона о таможенном тарифе оказался непродолжительным . Он был прерван распадом СССР.</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Непосредственную реализацию задач в области таможенного дела и единообразие применения таможенного законодательства РФ всеми таможенными органами после распада РФ</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 xml:space="preserve">обеспечивал федеральный орган исполнительной власти, уполномоченный в области таможенного дела, которым являлся Государственный таможенный комитет РФ (ГТК России), ныне преобразованный в Федеральную таможенную службу.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Основные направления, по которым происходит реформирование современного таможенного законодательства в настоящее время.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Это — максимальное сближение с существующими в международной практике стандартами по таможенному делу; создание стабильных и четких правил, в соответствии с которыми участник внешнеэкономической деятельности строит свои отношения с таможней — таких правил, которые создавали бы на границе таможенный климат, благоприятный для развития бизнеса и инвестиционных процессов; наконец, эффективная защита публичного порядка и национальных интересов Российской Федерации в связи с перемещением товаров и транспортных средств через таможенную границу.С принятием Таможенного кодекса в 2003г. удалось многое сделать в этом направлении.</w:t>
      </w:r>
    </w:p>
    <w:p w:rsidR="00C73856" w:rsidRPr="00402218" w:rsidRDefault="00402218" w:rsidP="00402218">
      <w:pPr>
        <w:pStyle w:val="4"/>
        <w:spacing w:before="0"/>
        <w:ind w:firstLine="720"/>
        <w:rPr>
          <w:szCs w:val="28"/>
        </w:rPr>
      </w:pPr>
      <w:bookmarkStart w:id="5" w:name="_Toc184889726"/>
      <w:r>
        <w:rPr>
          <w:szCs w:val="28"/>
          <w:lang w:val="en-US"/>
        </w:rPr>
        <w:br w:type="page"/>
      </w:r>
      <w:r w:rsidR="00C73856" w:rsidRPr="00402218">
        <w:rPr>
          <w:szCs w:val="28"/>
        </w:rPr>
        <w:t>Библиографический список литературы</w:t>
      </w:r>
      <w:bookmarkEnd w:id="5"/>
    </w:p>
    <w:p w:rsidR="00402218" w:rsidRDefault="00402218" w:rsidP="00402218">
      <w:pPr>
        <w:pStyle w:val="7"/>
        <w:ind w:firstLine="720"/>
        <w:jc w:val="both"/>
        <w:rPr>
          <w:lang w:val="en-US"/>
        </w:rPr>
      </w:pPr>
    </w:p>
    <w:p w:rsidR="00C73856" w:rsidRDefault="00C73856" w:rsidP="00402218">
      <w:pPr>
        <w:pStyle w:val="7"/>
        <w:ind w:firstLine="1418"/>
        <w:rPr>
          <w:lang w:val="en-US"/>
        </w:rPr>
      </w:pPr>
      <w:r w:rsidRPr="00402218">
        <w:t>Нормативно-правовые акты</w:t>
      </w:r>
    </w:p>
    <w:p w:rsidR="00402218" w:rsidRPr="00402218" w:rsidRDefault="00402218" w:rsidP="00402218">
      <w:pPr>
        <w:spacing w:before="0" w:beforeAutospacing="0" w:after="0" w:afterAutospacing="0" w:line="360" w:lineRule="auto"/>
        <w:ind w:firstLine="709"/>
        <w:jc w:val="both"/>
        <w:rPr>
          <w:rFonts w:ascii="Times New Roman" w:eastAsia="Times New Roman" w:hAnsi="Times New Roman" w:cs="Times New Roman"/>
          <w:sz w:val="28"/>
          <w:szCs w:val="20"/>
          <w:lang w:val="en-US"/>
        </w:rPr>
      </w:pP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Таможенный Кодекс РФ.</w:t>
      </w: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Закон РФ от 21 мая 1993 г. N 5003-1 "О таможенном тарифе" (с изм. внесёнными Федеральным законом РФ от 21 июля 2005 года</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N 112-ФЗ)// НТЦ правовой информации "Система" Федерального</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 xml:space="preserve">агентства правительственной связи и информации. </w:t>
      </w: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Положение о ГТК России, утверждённое Указом Президента РФ от 25 октября 1994 г. N 2014// СЗ РФ. 1994. N 27. Ст. 2855.</w:t>
      </w: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Указ Президента Российской Федерации от 9 марта 2004 года №314 "О системе и структуре федеральных органов исполнительной власти"// С</w:t>
      </w:r>
      <w:r w:rsidRPr="00402218">
        <w:rPr>
          <w:rStyle w:val="td"/>
          <w:rFonts w:ascii="Times New Roman" w:eastAsia="Times New Roman" w:hAnsi="Times New Roman"/>
          <w:sz w:val="28"/>
          <w:szCs w:val="28"/>
        </w:rPr>
        <w:t>З РФ.</w:t>
      </w:r>
      <w:r w:rsidR="00402218">
        <w:rPr>
          <w:rStyle w:val="td"/>
          <w:rFonts w:ascii="Times New Roman" w:eastAsia="Times New Roman" w:hAnsi="Times New Roman"/>
          <w:sz w:val="28"/>
          <w:szCs w:val="28"/>
        </w:rPr>
        <w:t xml:space="preserve"> </w:t>
      </w:r>
      <w:r w:rsidRPr="00402218">
        <w:rPr>
          <w:rStyle w:val="td"/>
          <w:rFonts w:ascii="Times New Roman" w:eastAsia="Times New Roman" w:hAnsi="Times New Roman"/>
          <w:sz w:val="28"/>
          <w:szCs w:val="28"/>
        </w:rPr>
        <w:t xml:space="preserve">2004, №21, ст.2023; №31, ст.3234; №38, ст.3775; №42, ст.4107; №47, ст.4635; №49, ст.4889; 2005, №30, ст.3136; №41, ст.4119. </w:t>
      </w: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Указ Президента РФ от 11 мая 2006 года N 473 "Вопросы Федеральной таможенной службы"//</w:t>
      </w:r>
      <w:r w:rsidRPr="00402218">
        <w:rPr>
          <w:rStyle w:val="td"/>
          <w:rFonts w:ascii="Times New Roman" w:eastAsia="Times New Roman" w:hAnsi="Times New Roman"/>
          <w:sz w:val="28"/>
          <w:szCs w:val="28"/>
        </w:rPr>
        <w:t xml:space="preserve"> </w:t>
      </w:r>
      <w:r w:rsidRPr="00402218">
        <w:rPr>
          <w:rFonts w:ascii="Times New Roman" w:eastAsia="Times New Roman" w:hAnsi="Times New Roman" w:cs="Times New Roman"/>
          <w:sz w:val="28"/>
          <w:szCs w:val="28"/>
        </w:rPr>
        <w:t>С</w:t>
      </w:r>
      <w:r w:rsidRPr="00402218">
        <w:rPr>
          <w:rStyle w:val="td"/>
          <w:rFonts w:ascii="Times New Roman" w:eastAsia="Times New Roman" w:hAnsi="Times New Roman"/>
          <w:sz w:val="28"/>
          <w:szCs w:val="28"/>
        </w:rPr>
        <w:t>З РФ.</w:t>
      </w:r>
      <w:r w:rsidR="00402218">
        <w:rPr>
          <w:rStyle w:val="td"/>
          <w:rFonts w:ascii="Times New Roman" w:eastAsia="Times New Roman" w:hAnsi="Times New Roman"/>
          <w:sz w:val="28"/>
          <w:szCs w:val="28"/>
        </w:rPr>
        <w:t xml:space="preserve"> </w:t>
      </w:r>
      <w:r w:rsidRPr="00402218">
        <w:rPr>
          <w:rStyle w:val="td"/>
          <w:rFonts w:ascii="Times New Roman" w:eastAsia="Times New Roman" w:hAnsi="Times New Roman"/>
          <w:sz w:val="28"/>
          <w:szCs w:val="28"/>
        </w:rPr>
        <w:t>2006, №20, ст.2162.</w:t>
      </w:r>
      <w:r w:rsidR="00402218">
        <w:rPr>
          <w:rStyle w:val="td"/>
          <w:rFonts w:ascii="Times New Roman" w:eastAsia="Times New Roman" w:hAnsi="Times New Roman"/>
          <w:sz w:val="28"/>
          <w:szCs w:val="28"/>
        </w:rPr>
        <w:t xml:space="preserve"> </w:t>
      </w:r>
    </w:p>
    <w:p w:rsidR="00C73856" w:rsidRPr="00402218" w:rsidRDefault="00C73856" w:rsidP="00402218">
      <w:pPr>
        <w:numPr>
          <w:ilvl w:val="0"/>
          <w:numId w:val="4"/>
        </w:numPr>
        <w:spacing w:before="0" w:beforeAutospacing="0" w:after="0" w:afterAutospacing="0" w:line="360" w:lineRule="auto"/>
        <w:ind w:left="1418" w:hanging="709"/>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Постановление </w:t>
      </w:r>
      <w:r w:rsidRPr="00402218">
        <w:rPr>
          <w:rStyle w:val="td"/>
          <w:rFonts w:ascii="Times New Roman" w:eastAsia="Times New Roman" w:hAnsi="Times New Roman"/>
          <w:sz w:val="28"/>
          <w:szCs w:val="28"/>
        </w:rPr>
        <w:t xml:space="preserve">Правительства Российской Федерации </w:t>
      </w:r>
      <w:r w:rsidRPr="00402218">
        <w:rPr>
          <w:rFonts w:ascii="Times New Roman" w:eastAsia="Times New Roman" w:hAnsi="Times New Roman" w:cs="Times New Roman"/>
          <w:sz w:val="28"/>
          <w:szCs w:val="28"/>
        </w:rPr>
        <w:t xml:space="preserve">от 21 августа 2004 г. № 429 "О Федеральной таможенной службе". </w:t>
      </w:r>
    </w:p>
    <w:p w:rsidR="00C73856" w:rsidRPr="00402218" w:rsidRDefault="00C73856" w:rsidP="00402218">
      <w:pPr>
        <w:pStyle w:val="af0"/>
        <w:numPr>
          <w:ilvl w:val="0"/>
          <w:numId w:val="4"/>
        </w:numPr>
        <w:ind w:left="1418" w:hanging="709"/>
        <w:rPr>
          <w:szCs w:val="28"/>
        </w:rPr>
      </w:pPr>
      <w:r w:rsidRPr="00402218">
        <w:rPr>
          <w:rStyle w:val="af3"/>
          <w:b w:val="0"/>
          <w:bCs w:val="0"/>
          <w:szCs w:val="28"/>
        </w:rPr>
        <w:t>Положение о Федеральной таможенной службе</w:t>
      </w:r>
      <w:r w:rsidRPr="00402218">
        <w:rPr>
          <w:szCs w:val="28"/>
        </w:rPr>
        <w:t>, утверждённое</w:t>
      </w:r>
      <w:r w:rsidRPr="00402218">
        <w:rPr>
          <w:rStyle w:val="af3"/>
          <w:b w:val="0"/>
          <w:bCs w:val="0"/>
          <w:szCs w:val="28"/>
        </w:rPr>
        <w:t xml:space="preserve"> Постановлением Правительства Российской Федерации от 26 июля 2006 г. № 459.</w:t>
      </w:r>
      <w:r w:rsidR="00402218">
        <w:rPr>
          <w:rStyle w:val="af3"/>
          <w:b w:val="0"/>
          <w:bCs w:val="0"/>
          <w:szCs w:val="28"/>
        </w:rPr>
        <w:t xml:space="preserve"> </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color w:val="000000"/>
          <w:sz w:val="28"/>
          <w:szCs w:val="28"/>
        </w:rPr>
      </w:pPr>
    </w:p>
    <w:p w:rsidR="00C73856" w:rsidRPr="00402218" w:rsidRDefault="00C73856" w:rsidP="00402218">
      <w:pPr>
        <w:pStyle w:val="7"/>
        <w:ind w:firstLine="720"/>
      </w:pPr>
      <w:r w:rsidRPr="00402218">
        <w:t>Литература</w:t>
      </w:r>
    </w:p>
    <w:p w:rsidR="00C73856" w:rsidRPr="00402218" w:rsidRDefault="00C73856" w:rsidP="00402218">
      <w:pPr>
        <w:spacing w:before="0" w:beforeAutospacing="0" w:after="0" w:afterAutospacing="0" w:line="360" w:lineRule="auto"/>
        <w:ind w:firstLine="720"/>
        <w:jc w:val="both"/>
        <w:rPr>
          <w:rFonts w:ascii="Times New Roman" w:eastAsia="Times New Roman" w:hAnsi="Times New Roman" w:cs="Times New Roman"/>
          <w:sz w:val="28"/>
          <w:szCs w:val="28"/>
        </w:rPr>
      </w:pP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Вагин В.Д. Таможенное право: Учебник. - М.: Русина-Пресс, 2005.</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Габричидзе Б.Н. Практика применения Таможенного кодекса Российской Федерации. - М. Книжный мир, 1999. </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Додонов В.Н. и др. Финансовое и банковское право: Словарь-справочник-М., 1997.</w:t>
      </w:r>
      <w:r w:rsidR="00402218">
        <w:rPr>
          <w:rFonts w:ascii="Times New Roman" w:eastAsia="Times New Roman" w:hAnsi="Times New Roman" w:cs="Times New Roman"/>
          <w:sz w:val="28"/>
          <w:szCs w:val="28"/>
        </w:rPr>
        <w:t xml:space="preserve"> </w:t>
      </w: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Кисловский</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Ю.Г.</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История</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таможенного</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дела</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и</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таможенной</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политики</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России.Учебник. - М.: Русина-Пресс.</w:t>
      </w:r>
      <w:r w:rsidR="00402218">
        <w:rPr>
          <w:rFonts w:ascii="Times New Roman" w:eastAsia="Times New Roman" w:hAnsi="Times New Roman" w:cs="Times New Roman"/>
          <w:i/>
          <w:iCs/>
          <w:color w:val="000000"/>
          <w:sz w:val="28"/>
          <w:szCs w:val="28"/>
        </w:rPr>
        <w:t xml:space="preserve"> </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Козырин А. Н. Новые контуры таможенного законодательства. //Журнал «Бюджет». – 2003. - №10.</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Комментарий к Таможенному кодексу РФ / Под ред.</w:t>
      </w:r>
      <w:r w:rsidR="00402218">
        <w:rPr>
          <w:rFonts w:ascii="Times New Roman" w:eastAsia="Times New Roman" w:hAnsi="Times New Roman" w:cs="Times New Roman"/>
          <w:sz w:val="28"/>
          <w:szCs w:val="28"/>
        </w:rPr>
        <w:t xml:space="preserve"> </w:t>
      </w:r>
      <w:r w:rsidRPr="00402218">
        <w:rPr>
          <w:rFonts w:ascii="Times New Roman" w:eastAsia="Times New Roman" w:hAnsi="Times New Roman" w:cs="Times New Roman"/>
          <w:sz w:val="28"/>
          <w:szCs w:val="28"/>
        </w:rPr>
        <w:t>А.Н. Козырина. - М.: Норма-М, 2005.</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Корняков К. А. Новый этап развития таможенного</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 xml:space="preserve">дела в России //Законодательство и экономика. –2003. - №11. </w:t>
      </w: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Круглев</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А.С.,</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Блинов</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Н.М.</w:t>
      </w:r>
      <w:r w:rsidR="007775C5">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и</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др.</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Таможенная</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политика</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России</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в</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lang w:val="en-US"/>
        </w:rPr>
        <w:t>XXI</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веке</w:t>
      </w:r>
      <w:r w:rsidR="00402218">
        <w:rPr>
          <w:rFonts w:ascii="Times New Roman" w:eastAsia="Times New Roman" w:hAnsi="Times New Roman" w:cs="Times New Roman"/>
          <w:color w:val="000000"/>
          <w:sz w:val="28"/>
          <w:szCs w:val="28"/>
        </w:rPr>
        <w:t xml:space="preserve"> </w:t>
      </w:r>
      <w:r w:rsidRPr="00402218">
        <w:rPr>
          <w:rFonts w:ascii="Times New Roman" w:eastAsia="Times New Roman" w:hAnsi="Times New Roman" w:cs="Times New Roman"/>
          <w:color w:val="000000"/>
          <w:sz w:val="28"/>
          <w:szCs w:val="28"/>
        </w:rPr>
        <w:t>// Проблемы теории и практики таможенного дела: Сборник научных трудов. В 2 ч. Ч. 1. -М.: РИО РТА, 1997.</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Материалы к заседанию правительства. – М.: ПРАЙМ-ТАСС, 4 июля 2007.</w:t>
      </w: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 xml:space="preserve">Основы таможенного дела: Уч. пособие в 7 вып. Вып. </w:t>
      </w:r>
      <w:r w:rsidRPr="00402218">
        <w:rPr>
          <w:rFonts w:ascii="Times New Roman" w:eastAsia="Times New Roman" w:hAnsi="Times New Roman" w:cs="Times New Roman"/>
          <w:color w:val="000000"/>
          <w:sz w:val="28"/>
          <w:szCs w:val="28"/>
          <w:lang w:val="en-US"/>
        </w:rPr>
        <w:t>I</w:t>
      </w:r>
      <w:r w:rsidRPr="00402218">
        <w:rPr>
          <w:rFonts w:ascii="Times New Roman" w:eastAsia="Times New Roman" w:hAnsi="Times New Roman" w:cs="Times New Roman"/>
          <w:color w:val="000000"/>
          <w:sz w:val="28"/>
          <w:szCs w:val="28"/>
        </w:rPr>
        <w:t>: Развитие таможенного дела в России. - М.: РИО РТА, 1995.</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 xml:space="preserve">Современный финансово-кредитный словарь / Под общ. ред. М.Г. Лапусты, П.С. Никольского.- М., 2002. </w:t>
      </w:r>
    </w:p>
    <w:p w:rsidR="00C73856" w:rsidRPr="00402218" w:rsidRDefault="00C73856" w:rsidP="00402218">
      <w:pPr>
        <w:numPr>
          <w:ilvl w:val="0"/>
          <w:numId w:val="3"/>
        </w:numPr>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sz w:val="28"/>
          <w:szCs w:val="28"/>
        </w:rPr>
        <w:t>Таможенное дело России : сб. документов и материалов. Гос. тамож. ком. Рос. Федерации, Рос. тамож. акад. / под общ. ред. Н.М. Блинова. - М.: Юпапас,2000.</w:t>
      </w: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Таможенное право: Учебник / Отв. ред. д-р юрид. наук, проф. А.Ф. Ноздрачев. - М.: Юристь, 1998.</w:t>
      </w:r>
    </w:p>
    <w:p w:rsidR="00C73856" w:rsidRPr="00402218" w:rsidRDefault="00C73856" w:rsidP="00402218">
      <w:pPr>
        <w:numPr>
          <w:ilvl w:val="0"/>
          <w:numId w:val="3"/>
        </w:numPr>
        <w:shd w:val="clear" w:color="auto" w:fill="FFFFFF"/>
        <w:spacing w:before="0" w:beforeAutospacing="0" w:after="0" w:afterAutospacing="0" w:line="360" w:lineRule="auto"/>
        <w:ind w:left="1418" w:hanging="698"/>
        <w:jc w:val="both"/>
        <w:rPr>
          <w:rFonts w:ascii="Times New Roman" w:eastAsia="Times New Roman" w:hAnsi="Times New Roman" w:cs="Times New Roman"/>
          <w:sz w:val="28"/>
          <w:szCs w:val="28"/>
        </w:rPr>
      </w:pPr>
      <w:r w:rsidRPr="00402218">
        <w:rPr>
          <w:rFonts w:ascii="Times New Roman" w:eastAsia="Times New Roman" w:hAnsi="Times New Roman" w:cs="Times New Roman"/>
          <w:color w:val="000000"/>
          <w:sz w:val="28"/>
          <w:szCs w:val="28"/>
        </w:rPr>
        <w:t>Тимошенко И.В. Таможенное право России. Серия «Учебники, учебные пособия». - Ростов н/Д: Феникс, 2001.</w:t>
      </w:r>
      <w:bookmarkStart w:id="6" w:name="_GoBack"/>
      <w:bookmarkEnd w:id="6"/>
    </w:p>
    <w:sectPr w:rsidR="00C73856" w:rsidRPr="00402218" w:rsidSect="00402218">
      <w:headerReference w:type="even" r:id="rId7"/>
      <w:pgSz w:w="11906" w:h="16838"/>
      <w:pgMar w:top="1134" w:right="851" w:bottom="1134" w:left="1701" w:header="567"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D3" w:rsidRDefault="009551D3">
      <w:pPr>
        <w:spacing w:before="0" w:beforeAutospacing="0" w:after="0" w:afterAutospacing="0"/>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separator/>
      </w:r>
    </w:p>
  </w:endnote>
  <w:endnote w:type="continuationSeparator" w:id="0">
    <w:p w:rsidR="009551D3" w:rsidRDefault="009551D3">
      <w:pPr>
        <w:spacing w:before="0" w:beforeAutospacing="0" w:after="0" w:afterAutospacing="0"/>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D3" w:rsidRDefault="009551D3">
      <w:pPr>
        <w:spacing w:before="0" w:beforeAutospacing="0" w:after="0" w:afterAutospacing="0"/>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separator/>
      </w:r>
    </w:p>
  </w:footnote>
  <w:footnote w:type="continuationSeparator" w:id="0">
    <w:p w:rsidR="009551D3" w:rsidRDefault="009551D3">
      <w:pPr>
        <w:spacing w:before="0" w:beforeAutospacing="0" w:after="0" w:afterAutospacing="0"/>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continuationSeparator/>
      </w:r>
    </w:p>
  </w:footnote>
  <w:footnote w:id="1">
    <w:p w:rsidR="009551D3" w:rsidRDefault="00C73856">
      <w:pPr>
        <w:spacing w:before="0" w:beforeAutospacing="0" w:after="0" w:afterAutospacing="0"/>
        <w:ind w:firstLine="709"/>
        <w:jc w:val="both"/>
        <w:rPr>
          <w:rFonts w:ascii="Times New Roman" w:eastAsia="Times New Roman" w:hAnsi="Times New Roman" w:cs="Times New Roman"/>
          <w:sz w:val="28"/>
          <w:szCs w:val="20"/>
        </w:rPr>
      </w:pPr>
      <w:r>
        <w:rPr>
          <w:rStyle w:val="ac"/>
          <w:rFonts w:ascii="Times New Roman" w:eastAsia="Times New Roman" w:hAnsi="Times New Roman"/>
          <w:sz w:val="20"/>
          <w:szCs w:val="20"/>
        </w:rPr>
        <w:footnoteRef/>
      </w:r>
      <w:r>
        <w:rPr>
          <w:rFonts w:ascii="Times New Roman" w:eastAsia="Times New Roman" w:hAnsi="Times New Roman" w:cs="Times New Roman"/>
          <w:sz w:val="20"/>
          <w:szCs w:val="20"/>
        </w:rPr>
        <w:t xml:space="preserve"> Таможенное дело России : сб. документов и материалов .  Гос. тамож. ком. Рос. Федерации, Рос. тамож. акад. / под общ. ред. Н.М. Блинова. - М. : Юпапас,2000. С. 23-25</w:t>
      </w:r>
    </w:p>
  </w:footnote>
  <w:footnote w:id="2">
    <w:p w:rsidR="009551D3" w:rsidRDefault="00C73856">
      <w:pPr>
        <w:pStyle w:val="aa"/>
        <w:spacing w:line="240" w:lineRule="auto"/>
      </w:pPr>
      <w:r>
        <w:rPr>
          <w:rStyle w:val="ac"/>
        </w:rPr>
        <w:footnoteRef/>
      </w:r>
      <w:r>
        <w:t xml:space="preserve"> СЗ РФ. 1994. N 27. Ст. 2855.</w:t>
      </w:r>
    </w:p>
  </w:footnote>
  <w:footnote w:id="3">
    <w:p w:rsidR="00C73856" w:rsidRDefault="00C73856">
      <w:pPr>
        <w:pStyle w:val="aa"/>
        <w:spacing w:line="240" w:lineRule="auto"/>
      </w:pPr>
      <w:r>
        <w:rPr>
          <w:rStyle w:val="ac"/>
        </w:rPr>
        <w:footnoteRef/>
      </w:r>
      <w:r>
        <w:t xml:space="preserve"> Габричидзе Б.Н. Практика применения Таможенного кодекса Российской Федерации. - М. Книжный мир, 1998, С. 24-68;</w:t>
      </w:r>
    </w:p>
    <w:p w:rsidR="009551D3" w:rsidRDefault="009551D3">
      <w:pPr>
        <w:pStyle w:val="aa"/>
        <w:spacing w:line="240" w:lineRule="auto"/>
      </w:pPr>
    </w:p>
  </w:footnote>
  <w:footnote w:id="4">
    <w:p w:rsidR="00C73856" w:rsidRDefault="00C73856">
      <w:pPr>
        <w:shd w:val="clear" w:color="auto" w:fill="FFFFFF"/>
        <w:spacing w:before="0" w:beforeAutospacing="0" w:after="0" w:afterAutospacing="0"/>
        <w:ind w:firstLine="567"/>
        <w:jc w:val="both"/>
        <w:rPr>
          <w:rFonts w:ascii="Times New Roman" w:eastAsia="Times New Roman" w:hAnsi="Times New Roman" w:cs="Times New Roman"/>
          <w:sz w:val="20"/>
          <w:szCs w:val="28"/>
        </w:rPr>
      </w:pPr>
      <w:r>
        <w:rPr>
          <w:rStyle w:val="ac"/>
          <w:rFonts w:ascii="Times New Roman" w:eastAsia="Times New Roman" w:hAnsi="Times New Roman"/>
          <w:sz w:val="20"/>
          <w:szCs w:val="20"/>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8"/>
        </w:rPr>
        <w:t xml:space="preserve">Корняков К. А.Новый этап развития таможенного  дела в России //"Законодательство и экономика. –2003. - №11. </w:t>
      </w:r>
    </w:p>
    <w:p w:rsidR="009551D3" w:rsidRDefault="009551D3">
      <w:pPr>
        <w:shd w:val="clear" w:color="auto" w:fill="FFFFFF"/>
        <w:spacing w:before="0" w:beforeAutospacing="0" w:after="0" w:afterAutospacing="0"/>
        <w:ind w:firstLine="567"/>
        <w:jc w:val="both"/>
        <w:rPr>
          <w:rFonts w:ascii="Times New Roman" w:eastAsia="Times New Roman" w:hAnsi="Times New Roman" w:cs="Times New Roman"/>
          <w:sz w:val="28"/>
          <w:szCs w:val="20"/>
        </w:rPr>
      </w:pPr>
    </w:p>
  </w:footnote>
  <w:footnote w:id="5">
    <w:p w:rsidR="00C73856" w:rsidRDefault="00C73856">
      <w:pPr>
        <w:spacing w:before="0" w:beforeAutospacing="0" w:after="0" w:afterAutospacing="0"/>
        <w:ind w:firstLine="709"/>
        <w:jc w:val="both"/>
        <w:rPr>
          <w:rFonts w:ascii="Times New Roman" w:eastAsia="Times New Roman" w:hAnsi="Times New Roman" w:cs="Times New Roman"/>
          <w:sz w:val="20"/>
          <w:szCs w:val="20"/>
        </w:rPr>
      </w:pPr>
      <w:r>
        <w:rPr>
          <w:rStyle w:val="ac"/>
          <w:rFonts w:ascii="Times New Roman" w:eastAsia="Times New Roman" w:hAnsi="Times New Roman"/>
          <w:sz w:val="20"/>
          <w:szCs w:val="20"/>
        </w:rPr>
        <w:footnoteRef/>
      </w:r>
      <w:r>
        <w:rPr>
          <w:rFonts w:ascii="Times New Roman" w:eastAsia="Times New Roman" w:hAnsi="Times New Roman" w:cs="Times New Roman"/>
          <w:sz w:val="20"/>
          <w:szCs w:val="20"/>
        </w:rPr>
        <w:t xml:space="preserve"> Комментарий к Таможенному кодексу РФ ./ Под ред.  А.Н. Козырина. - М.: Норма-М, 2005. С. 12-14. </w:t>
      </w:r>
    </w:p>
    <w:p w:rsidR="009551D3" w:rsidRDefault="009551D3">
      <w:pPr>
        <w:spacing w:before="0" w:beforeAutospacing="0" w:after="0" w:afterAutospacing="0"/>
        <w:ind w:firstLine="709"/>
        <w:jc w:val="both"/>
        <w:rPr>
          <w:rFonts w:ascii="Times New Roman" w:eastAsia="Times New Roman" w:hAnsi="Times New Roman" w:cs="Times New Roman"/>
          <w:sz w:val="28"/>
          <w:szCs w:val="20"/>
        </w:rPr>
      </w:pPr>
    </w:p>
  </w:footnote>
  <w:footnote w:id="6">
    <w:p w:rsidR="009551D3" w:rsidRDefault="00C73856">
      <w:pPr>
        <w:spacing w:before="0" w:beforeAutospacing="0" w:after="0" w:afterAutospacing="0" w:line="360" w:lineRule="auto"/>
        <w:ind w:firstLine="709"/>
        <w:jc w:val="both"/>
        <w:rPr>
          <w:rFonts w:ascii="Times New Roman" w:eastAsia="Times New Roman" w:hAnsi="Times New Roman" w:cs="Times New Roman"/>
          <w:sz w:val="28"/>
          <w:szCs w:val="20"/>
        </w:rPr>
      </w:pPr>
      <w:r>
        <w:rPr>
          <w:rStyle w:val="ac"/>
          <w:rFonts w:ascii="Times New Roman" w:eastAsia="Times New Roman" w:hAnsi="Times New Roman"/>
          <w:sz w:val="20"/>
          <w:szCs w:val="20"/>
        </w:rPr>
        <w:footnoteRef/>
      </w:r>
      <w:r>
        <w:rPr>
          <w:rFonts w:ascii="Times New Roman" w:eastAsia="Times New Roman" w:hAnsi="Times New Roman" w:cs="Times New Roman"/>
          <w:sz w:val="20"/>
          <w:szCs w:val="20"/>
        </w:rPr>
        <w:t xml:space="preserve"> Козырин А. Н. Новые контуры таможенного законодательства. //Журнал «Бюджет». – 2003. -№10.</w:t>
      </w:r>
    </w:p>
  </w:footnote>
  <w:footnote w:id="7">
    <w:p w:rsidR="009551D3" w:rsidRDefault="00C73856">
      <w:pPr>
        <w:pStyle w:val="aa"/>
        <w:spacing w:line="240" w:lineRule="auto"/>
      </w:pPr>
      <w:r>
        <w:rPr>
          <w:rStyle w:val="ac"/>
        </w:rPr>
        <w:footnoteRef/>
      </w:r>
      <w:r>
        <w:t xml:space="preserve"> Современный финансово-кредитный словарь / Под общ. ред. М.Г. Лапусты, П.С. Никольского.-М., 2002</w:t>
      </w:r>
    </w:p>
  </w:footnote>
  <w:footnote w:id="8">
    <w:p w:rsidR="009551D3" w:rsidRDefault="00C73856">
      <w:pPr>
        <w:pStyle w:val="aa"/>
        <w:spacing w:line="240" w:lineRule="auto"/>
      </w:pPr>
      <w:r>
        <w:rPr>
          <w:rStyle w:val="ac"/>
        </w:rPr>
        <w:footnoteRef/>
      </w:r>
      <w:r>
        <w:t xml:space="preserve"> Додонов В.Н. и др. Финансовое и банковское право: Слов.-справ.-М., 1997</w:t>
      </w:r>
    </w:p>
  </w:footnote>
  <w:footnote w:id="9">
    <w:p w:rsidR="009551D3" w:rsidRDefault="00C73856">
      <w:pPr>
        <w:pStyle w:val="aa"/>
        <w:spacing w:line="240" w:lineRule="auto"/>
      </w:pPr>
      <w:r>
        <w:rPr>
          <w:rStyle w:val="ac"/>
        </w:rPr>
        <w:footnoteRef/>
      </w:r>
      <w:r>
        <w:t xml:space="preserve"> С</w:t>
      </w:r>
      <w:r>
        <w:rPr>
          <w:rStyle w:val="td"/>
        </w:rPr>
        <w:t>обрание законодательства Российской Федерации, 2004, №21, ст.2023; №31, ст.3234; №38, ст.3775; №42, ст.4107; №47, ст.4635; №49, ст.4889; 2005, №30, ст.3136; №41, ст.4119</w:t>
      </w:r>
    </w:p>
  </w:footnote>
  <w:footnote w:id="10">
    <w:p w:rsidR="009551D3" w:rsidRDefault="00C73856">
      <w:pPr>
        <w:pStyle w:val="aa"/>
      </w:pPr>
      <w:r>
        <w:rPr>
          <w:rStyle w:val="ac"/>
        </w:rPr>
        <w:footnoteRef/>
      </w:r>
      <w:r>
        <w:t xml:space="preserve"> </w:t>
      </w:r>
      <w:r>
        <w:rPr>
          <w:rStyle w:val="td"/>
        </w:rPr>
        <w:t>Собрание законодательства Российской Федерации, 2006, №20, ст.2162</w:t>
      </w:r>
    </w:p>
  </w:footnote>
  <w:footnote w:id="11">
    <w:p w:rsidR="009551D3" w:rsidRDefault="00C73856">
      <w:pPr>
        <w:spacing w:before="0" w:beforeAutospacing="0" w:after="0" w:afterAutospacing="0" w:line="360" w:lineRule="auto"/>
        <w:ind w:firstLine="709"/>
        <w:jc w:val="both"/>
        <w:rPr>
          <w:rFonts w:ascii="Times New Roman" w:eastAsia="Times New Roman" w:hAnsi="Times New Roman" w:cs="Times New Roman"/>
          <w:sz w:val="28"/>
          <w:szCs w:val="20"/>
        </w:rPr>
      </w:pPr>
      <w:r>
        <w:rPr>
          <w:rStyle w:val="ac"/>
          <w:rFonts w:ascii="Times New Roman" w:eastAsia="Times New Roman" w:hAnsi="Times New Roman"/>
          <w:sz w:val="20"/>
          <w:szCs w:val="20"/>
        </w:rPr>
        <w:footnoteRef/>
      </w:r>
      <w:r>
        <w:rPr>
          <w:rFonts w:ascii="Times New Roman" w:eastAsia="Times New Roman" w:hAnsi="Times New Roman" w:cs="Times New Roman"/>
          <w:sz w:val="20"/>
          <w:szCs w:val="20"/>
        </w:rPr>
        <w:t xml:space="preserve"> Материалы к заседанию правительства. – М.: ПРАЙМ-ТАСС, 4 июля 2007.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856" w:rsidRDefault="00C73856">
    <w:pPr>
      <w:pStyle w:val="af6"/>
      <w:framePr w:wrap="around" w:vAnchor="text" w:hAnchor="margin" w:xAlign="right" w:y="1"/>
      <w:rPr>
        <w:rStyle w:val="af"/>
      </w:rPr>
    </w:pPr>
  </w:p>
  <w:p w:rsidR="00C73856" w:rsidRDefault="00C73856">
    <w:pPr>
      <w:pStyle w:val="a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A0AD2"/>
    <w:multiLevelType w:val="hybridMultilevel"/>
    <w:tmpl w:val="B2C24444"/>
    <w:lvl w:ilvl="0" w:tplc="81BC7CC0">
      <w:start w:val="1"/>
      <w:numFmt w:val="decimal"/>
      <w:lvlText w:val="%1."/>
      <w:lvlJc w:val="left"/>
      <w:pPr>
        <w:tabs>
          <w:tab w:val="num" w:pos="1126"/>
        </w:tabs>
        <w:ind w:left="766"/>
      </w:pPr>
      <w:rPr>
        <w:rFonts w:ascii="Times New Roman" w:hAnsi="Times New Roman" w:cs="Times New Roman" w:hint="default"/>
        <w:b w:val="0"/>
        <w:i w:val="0"/>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33783B1C"/>
    <w:multiLevelType w:val="hybridMultilevel"/>
    <w:tmpl w:val="9BF2296A"/>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F20669A"/>
    <w:multiLevelType w:val="hybridMultilevel"/>
    <w:tmpl w:val="7F90418A"/>
    <w:lvl w:ilvl="0" w:tplc="0B726B2E">
      <w:start w:val="1"/>
      <w:numFmt w:val="decimal"/>
      <w:lvlText w:val="%1."/>
      <w:lvlJc w:val="left"/>
      <w:pPr>
        <w:tabs>
          <w:tab w:val="num" w:pos="1069"/>
        </w:tabs>
        <w:ind w:left="1069" w:hanging="360"/>
      </w:pPr>
      <w:rPr>
        <w:rFonts w:eastAsia="Times New Roman"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DC53301"/>
    <w:multiLevelType w:val="hybridMultilevel"/>
    <w:tmpl w:val="F162D822"/>
    <w:lvl w:ilvl="0" w:tplc="0419000F">
      <w:start w:val="1"/>
      <w:numFmt w:val="decimal"/>
      <w:lvlText w:val="%1."/>
      <w:lvlJc w:val="left"/>
      <w:pPr>
        <w:ind w:left="1383" w:hanging="360"/>
      </w:pPr>
      <w:rPr>
        <w:rFonts w:cs="Times New Roman"/>
      </w:rPr>
    </w:lvl>
    <w:lvl w:ilvl="1" w:tplc="04190019" w:tentative="1">
      <w:start w:val="1"/>
      <w:numFmt w:val="lowerLetter"/>
      <w:lvlText w:val="%2."/>
      <w:lvlJc w:val="left"/>
      <w:pPr>
        <w:ind w:left="2103" w:hanging="360"/>
      </w:pPr>
      <w:rPr>
        <w:rFonts w:cs="Times New Roman"/>
      </w:rPr>
    </w:lvl>
    <w:lvl w:ilvl="2" w:tplc="0419001B" w:tentative="1">
      <w:start w:val="1"/>
      <w:numFmt w:val="lowerRoman"/>
      <w:lvlText w:val="%3."/>
      <w:lvlJc w:val="right"/>
      <w:pPr>
        <w:ind w:left="2823" w:hanging="180"/>
      </w:pPr>
      <w:rPr>
        <w:rFonts w:cs="Times New Roman"/>
      </w:rPr>
    </w:lvl>
    <w:lvl w:ilvl="3" w:tplc="0419000F" w:tentative="1">
      <w:start w:val="1"/>
      <w:numFmt w:val="decimal"/>
      <w:lvlText w:val="%4."/>
      <w:lvlJc w:val="left"/>
      <w:pPr>
        <w:ind w:left="3543" w:hanging="360"/>
      </w:pPr>
      <w:rPr>
        <w:rFonts w:cs="Times New Roman"/>
      </w:rPr>
    </w:lvl>
    <w:lvl w:ilvl="4" w:tplc="04190019" w:tentative="1">
      <w:start w:val="1"/>
      <w:numFmt w:val="lowerLetter"/>
      <w:lvlText w:val="%5."/>
      <w:lvlJc w:val="left"/>
      <w:pPr>
        <w:ind w:left="4263" w:hanging="360"/>
      </w:pPr>
      <w:rPr>
        <w:rFonts w:cs="Times New Roman"/>
      </w:rPr>
    </w:lvl>
    <w:lvl w:ilvl="5" w:tplc="0419001B" w:tentative="1">
      <w:start w:val="1"/>
      <w:numFmt w:val="lowerRoman"/>
      <w:lvlText w:val="%6."/>
      <w:lvlJc w:val="right"/>
      <w:pPr>
        <w:ind w:left="4983" w:hanging="180"/>
      </w:pPr>
      <w:rPr>
        <w:rFonts w:cs="Times New Roman"/>
      </w:rPr>
    </w:lvl>
    <w:lvl w:ilvl="6" w:tplc="0419000F" w:tentative="1">
      <w:start w:val="1"/>
      <w:numFmt w:val="decimal"/>
      <w:lvlText w:val="%7."/>
      <w:lvlJc w:val="left"/>
      <w:pPr>
        <w:ind w:left="5703" w:hanging="360"/>
      </w:pPr>
      <w:rPr>
        <w:rFonts w:cs="Times New Roman"/>
      </w:rPr>
    </w:lvl>
    <w:lvl w:ilvl="7" w:tplc="04190019" w:tentative="1">
      <w:start w:val="1"/>
      <w:numFmt w:val="lowerLetter"/>
      <w:lvlText w:val="%8."/>
      <w:lvlJc w:val="left"/>
      <w:pPr>
        <w:ind w:left="6423" w:hanging="360"/>
      </w:pPr>
      <w:rPr>
        <w:rFonts w:cs="Times New Roman"/>
      </w:rPr>
    </w:lvl>
    <w:lvl w:ilvl="8" w:tplc="0419001B" w:tentative="1">
      <w:start w:val="1"/>
      <w:numFmt w:val="lowerRoman"/>
      <w:lvlText w:val="%9."/>
      <w:lvlJc w:val="right"/>
      <w:pPr>
        <w:ind w:left="7143"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218"/>
    <w:rsid w:val="00402218"/>
    <w:rsid w:val="00673DEA"/>
    <w:rsid w:val="00703399"/>
    <w:rsid w:val="007775C5"/>
    <w:rsid w:val="009551D3"/>
    <w:rsid w:val="00BC13A7"/>
    <w:rsid w:val="00C17585"/>
    <w:rsid w:val="00C7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A17FD4-99CC-4A9F-97C4-5A7EE9C6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beforeAutospacing="1" w:after="100" w:afterAutospacing="1"/>
    </w:pPr>
    <w:rPr>
      <w:rFonts w:ascii="Arial Unicode MS" w:eastAsia="Arial Unicode MS" w:hAnsi="Arial Unicode MS" w:cs="Arial Unicode MS"/>
      <w:sz w:val="24"/>
      <w:szCs w:val="24"/>
    </w:rPr>
  </w:style>
  <w:style w:type="paragraph" w:styleId="1">
    <w:name w:val="heading 1"/>
    <w:basedOn w:val="a"/>
    <w:next w:val="a"/>
    <w:link w:val="10"/>
    <w:uiPriority w:val="9"/>
    <w:qFormat/>
    <w:pPr>
      <w:keepNext/>
      <w:keepLines/>
      <w:suppressAutoHyphens/>
      <w:spacing w:before="240" w:beforeAutospacing="0" w:after="60" w:afterAutospacing="0" w:line="360" w:lineRule="auto"/>
      <w:jc w:val="center"/>
      <w:outlineLvl w:val="0"/>
    </w:pPr>
    <w:rPr>
      <w:rFonts w:ascii="Arial" w:eastAsia="Times New Roman" w:hAnsi="Arial" w:cs="Times New Roman"/>
      <w:b/>
      <w:i/>
      <w:caps/>
      <w:kern w:val="28"/>
      <w:sz w:val="36"/>
      <w:szCs w:val="20"/>
    </w:rPr>
  </w:style>
  <w:style w:type="paragraph" w:styleId="2">
    <w:name w:val="heading 2"/>
    <w:basedOn w:val="a"/>
    <w:next w:val="a"/>
    <w:link w:val="20"/>
    <w:uiPriority w:val="9"/>
    <w:qFormat/>
    <w:pPr>
      <w:keepNext/>
      <w:keepLines/>
      <w:suppressAutoHyphens/>
      <w:spacing w:before="240" w:beforeAutospacing="0" w:after="60" w:afterAutospacing="0" w:line="360" w:lineRule="auto"/>
      <w:jc w:val="center"/>
      <w:outlineLvl w:val="1"/>
    </w:pPr>
    <w:rPr>
      <w:rFonts w:ascii="Arial" w:eastAsia="Times New Roman" w:hAnsi="Arial" w:cs="Times New Roman"/>
      <w:b/>
      <w:i/>
      <w:shadow/>
      <w:sz w:val="32"/>
      <w:szCs w:val="20"/>
    </w:rPr>
  </w:style>
  <w:style w:type="paragraph" w:styleId="3">
    <w:name w:val="heading 3"/>
    <w:basedOn w:val="a"/>
    <w:next w:val="a"/>
    <w:link w:val="30"/>
    <w:uiPriority w:val="9"/>
    <w:qFormat/>
    <w:pPr>
      <w:keepNext/>
      <w:keepLines/>
      <w:suppressAutoHyphens/>
      <w:spacing w:before="240" w:beforeAutospacing="0" w:after="60" w:afterAutospacing="0" w:line="360" w:lineRule="auto"/>
      <w:jc w:val="center"/>
      <w:outlineLvl w:val="2"/>
    </w:pPr>
    <w:rPr>
      <w:rFonts w:ascii="Arial" w:eastAsia="Times New Roman" w:hAnsi="Arial" w:cs="Times New Roman"/>
      <w:shadow/>
      <w:sz w:val="28"/>
      <w:szCs w:val="20"/>
    </w:rPr>
  </w:style>
  <w:style w:type="paragraph" w:styleId="4">
    <w:name w:val="heading 4"/>
    <w:basedOn w:val="a"/>
    <w:next w:val="a"/>
    <w:link w:val="40"/>
    <w:uiPriority w:val="9"/>
    <w:qFormat/>
    <w:pPr>
      <w:keepNext/>
      <w:keepLines/>
      <w:suppressAutoHyphens/>
      <w:spacing w:before="120" w:beforeAutospacing="0" w:after="0" w:afterAutospacing="0" w:line="360" w:lineRule="auto"/>
      <w:jc w:val="center"/>
      <w:outlineLvl w:val="3"/>
    </w:pPr>
    <w:rPr>
      <w:rFonts w:ascii="Times New Roman" w:eastAsia="Times New Roman" w:hAnsi="Times New Roman" w:cs="Times New Roman"/>
      <w:b/>
      <w:smallCaps/>
      <w:spacing w:val="4"/>
      <w:kern w:val="28"/>
      <w:sz w:val="28"/>
      <w:szCs w:val="20"/>
    </w:rPr>
  </w:style>
  <w:style w:type="paragraph" w:styleId="5">
    <w:name w:val="heading 5"/>
    <w:basedOn w:val="a"/>
    <w:next w:val="a"/>
    <w:link w:val="50"/>
    <w:uiPriority w:val="9"/>
    <w:qFormat/>
    <w:pPr>
      <w:keepNext/>
      <w:keepLines/>
      <w:suppressAutoHyphens/>
      <w:spacing w:before="0" w:beforeAutospacing="0" w:after="0" w:afterAutospacing="0" w:line="360" w:lineRule="auto"/>
      <w:outlineLvl w:val="4"/>
    </w:pPr>
    <w:rPr>
      <w:rFonts w:ascii="Arial" w:eastAsia="Times New Roman" w:hAnsi="Arial" w:cs="Times New Roman"/>
      <w:emboss/>
      <w:color w:val="000000"/>
      <w:spacing w:val="4"/>
      <w:kern w:val="28"/>
      <w:sz w:val="28"/>
      <w:szCs w:val="20"/>
    </w:rPr>
  </w:style>
  <w:style w:type="paragraph" w:styleId="6">
    <w:name w:val="heading 6"/>
    <w:basedOn w:val="a"/>
    <w:next w:val="a"/>
    <w:link w:val="60"/>
    <w:uiPriority w:val="9"/>
    <w:qFormat/>
    <w:pPr>
      <w:keepNext/>
      <w:keepLines/>
      <w:suppressAutoHyphens/>
      <w:spacing w:before="0" w:beforeAutospacing="0" w:after="0" w:afterAutospacing="0" w:line="360" w:lineRule="auto"/>
      <w:outlineLvl w:val="5"/>
    </w:pPr>
    <w:rPr>
      <w:rFonts w:ascii="Arial" w:eastAsia="Times New Roman" w:hAnsi="Arial" w:cs="Times New Roman"/>
      <w:i/>
      <w:color w:val="000000"/>
      <w:spacing w:val="4"/>
      <w:kern w:val="28"/>
      <w:sz w:val="28"/>
      <w:szCs w:val="20"/>
    </w:rPr>
  </w:style>
  <w:style w:type="paragraph" w:styleId="7">
    <w:name w:val="heading 7"/>
    <w:basedOn w:val="a"/>
    <w:next w:val="a"/>
    <w:link w:val="70"/>
    <w:uiPriority w:val="9"/>
    <w:qFormat/>
    <w:pPr>
      <w:keepNext/>
      <w:spacing w:before="0" w:beforeAutospacing="0" w:after="0" w:afterAutospacing="0" w:line="360" w:lineRule="auto"/>
      <w:ind w:firstLine="709"/>
      <w:jc w:val="center"/>
      <w:outlineLvl w:val="6"/>
    </w:pPr>
    <w:rPr>
      <w:rFonts w:ascii="Times New Roman" w:eastAsia="Times New Roman" w:hAnsi="Times New Roman" w:cs="Times New Roman"/>
      <w:color w:val="000000"/>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Пример"/>
    <w:basedOn w:val="a"/>
    <w:pPr>
      <w:spacing w:before="0" w:beforeAutospacing="0" w:after="120" w:afterAutospacing="0" w:line="360" w:lineRule="auto"/>
      <w:ind w:left="284" w:right="4251" w:firstLine="709"/>
      <w:jc w:val="both"/>
    </w:pPr>
    <w:rPr>
      <w:rFonts w:ascii="Courier New" w:eastAsia="Times New Roman" w:hAnsi="Courier New" w:cs="Times New Roman"/>
      <w:emboss/>
      <w:color w:val="000000"/>
      <w:kern w:val="28"/>
      <w:sz w:val="28"/>
      <w:szCs w:val="20"/>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spacing w:before="0" w:beforeAutospacing="0" w:after="0" w:afterAutospacing="0" w:line="360" w:lineRule="auto"/>
      <w:jc w:val="center"/>
    </w:pPr>
    <w:rPr>
      <w:rFonts w:ascii="Times New Roman" w:eastAsia="Times New Roman" w:hAnsi="Times New Roman" w:cs="Times New Roman"/>
      <w:sz w:val="28"/>
      <w:szCs w:val="20"/>
    </w:rPr>
  </w:style>
  <w:style w:type="paragraph" w:customStyle="1" w:styleId="a6">
    <w:name w:val="Подпись к таблице"/>
    <w:basedOn w:val="a"/>
    <w:pPr>
      <w:spacing w:before="0" w:beforeAutospacing="0" w:after="0" w:afterAutospacing="0" w:line="360" w:lineRule="auto"/>
      <w:jc w:val="right"/>
    </w:pPr>
    <w:rPr>
      <w:rFonts w:ascii="Times New Roman" w:eastAsia="Times New Roman" w:hAnsi="Times New Roman" w:cs="Times New Roman"/>
      <w:sz w:val="28"/>
      <w:szCs w:val="20"/>
    </w:r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pPr>
      <w:spacing w:before="0" w:beforeAutospacing="0" w:after="0" w:afterAutospacing="0" w:line="360" w:lineRule="auto"/>
      <w:ind w:firstLine="709"/>
      <w:jc w:val="both"/>
    </w:pPr>
    <w:rPr>
      <w:rFonts w:ascii="Times New Roman" w:eastAsia="Times New Roman" w:hAnsi="Times New Roman" w:cs="Times New Roman"/>
      <w:sz w:val="28"/>
      <w:szCs w:val="20"/>
    </w:rPr>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pPr>
      <w:spacing w:before="0" w:beforeAutospacing="0" w:after="0" w:afterAutospacing="0" w:line="360" w:lineRule="auto"/>
      <w:ind w:firstLine="709"/>
      <w:jc w:val="both"/>
    </w:pPr>
    <w:rPr>
      <w:rFonts w:ascii="Times New Roman" w:eastAsia="Times New Roman" w:hAnsi="Times New Roman" w:cs="Times New Roman"/>
      <w:sz w:val="20"/>
      <w:szCs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before="0" w:beforeAutospacing="0" w:after="360" w:afterAutospacing="0" w:line="360" w:lineRule="auto"/>
      <w:jc w:val="center"/>
    </w:pPr>
    <w:rPr>
      <w:rFonts w:ascii="Times New Roman" w:eastAsia="Times New Roman" w:hAnsi="Times New Roman" w:cs="Times New Roman"/>
      <w:szCs w:val="20"/>
    </w:rPr>
  </w:style>
  <w:style w:type="paragraph" w:customStyle="1" w:styleId="ae">
    <w:name w:val="Экспликация"/>
    <w:basedOn w:val="a"/>
    <w:next w:val="a"/>
    <w:pPr>
      <w:tabs>
        <w:tab w:val="left" w:pos="1276"/>
      </w:tabs>
      <w:spacing w:before="0" w:beforeAutospacing="0" w:after="0" w:afterAutospacing="0" w:line="360" w:lineRule="auto"/>
      <w:ind w:left="907"/>
      <w:jc w:val="both"/>
    </w:pPr>
    <w:rPr>
      <w:rFonts w:ascii="Times New Roman" w:eastAsia="Times New Roman" w:hAnsi="Times New Roman" w:cs="Times New Roman"/>
      <w:sz w:val="20"/>
      <w:szCs w:val="20"/>
      <w:lang w:val="en-US"/>
    </w:rPr>
  </w:style>
  <w:style w:type="character" w:styleId="af">
    <w:name w:val="page number"/>
    <w:uiPriority w:val="99"/>
    <w:semiHidden/>
    <w:rPr>
      <w:rFonts w:cs="Times New Roman"/>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styleId="af0">
    <w:name w:val="Body Text Indent"/>
    <w:basedOn w:val="a"/>
    <w:link w:val="af1"/>
    <w:uiPriority w:val="99"/>
    <w:semiHidden/>
    <w:pPr>
      <w:spacing w:before="0" w:beforeAutospacing="0" w:after="0" w:afterAutospacing="0" w:line="360" w:lineRule="auto"/>
      <w:ind w:firstLine="709"/>
      <w:jc w:val="both"/>
    </w:pPr>
    <w:rPr>
      <w:rFonts w:ascii="Times New Roman" w:eastAsia="Times New Roman" w:hAnsi="Times New Roman" w:cs="Times New Roman"/>
      <w:sz w:val="28"/>
      <w:szCs w:val="20"/>
    </w:rPr>
  </w:style>
  <w:style w:type="character" w:customStyle="1" w:styleId="af1">
    <w:name w:val="Основной текст с отступом Знак"/>
    <w:link w:val="af0"/>
    <w:uiPriority w:val="99"/>
    <w:semiHidden/>
    <w:rPr>
      <w:sz w:val="28"/>
    </w:rPr>
  </w:style>
  <w:style w:type="paragraph" w:styleId="af2">
    <w:name w:val="Normal (Web)"/>
    <w:basedOn w:val="a"/>
    <w:uiPriority w:val="99"/>
    <w:semiHidden/>
  </w:style>
  <w:style w:type="character" w:customStyle="1" w:styleId="td">
    <w:name w:val="td"/>
    <w:rPr>
      <w:rFonts w:cs="Times New Roman"/>
    </w:rPr>
  </w:style>
  <w:style w:type="character" w:styleId="af3">
    <w:name w:val="Strong"/>
    <w:uiPriority w:val="22"/>
    <w:qFormat/>
    <w:rPr>
      <w:rFonts w:cs="Times New Roman"/>
      <w:b/>
      <w:bCs/>
    </w:rPr>
  </w:style>
  <w:style w:type="paragraph" w:customStyle="1" w:styleId="pagealign">
    <w:name w:val="page_align"/>
    <w:basedOn w:val="a"/>
  </w:style>
  <w:style w:type="paragraph" w:styleId="af4">
    <w:name w:val="Document Map"/>
    <w:basedOn w:val="a"/>
    <w:link w:val="af5"/>
    <w:uiPriority w:val="99"/>
    <w:semiHidden/>
    <w:pPr>
      <w:shd w:val="clear" w:color="auto" w:fill="000080"/>
      <w:spacing w:before="0" w:beforeAutospacing="0" w:after="0" w:afterAutospacing="0" w:line="360" w:lineRule="auto"/>
      <w:ind w:firstLine="709"/>
      <w:jc w:val="both"/>
    </w:pPr>
    <w:rPr>
      <w:rFonts w:ascii="Tahoma" w:eastAsia="Times New Roman" w:hAnsi="Tahoma" w:cs="Tahoma"/>
      <w:sz w:val="28"/>
      <w:szCs w:val="20"/>
    </w:rPr>
  </w:style>
  <w:style w:type="character" w:customStyle="1" w:styleId="af5">
    <w:name w:val="Схема документа Знак"/>
    <w:link w:val="af4"/>
    <w:uiPriority w:val="99"/>
    <w:semiHidden/>
    <w:rPr>
      <w:rFonts w:ascii="Tahoma" w:eastAsia="Arial Unicode MS" w:hAnsi="Tahoma" w:cs="Tahoma"/>
      <w:sz w:val="16"/>
      <w:szCs w:val="16"/>
    </w:rPr>
  </w:style>
  <w:style w:type="paragraph" w:styleId="21">
    <w:name w:val="Body Text Indent 2"/>
    <w:basedOn w:val="a"/>
    <w:link w:val="22"/>
    <w:uiPriority w:val="99"/>
    <w:semiHidden/>
    <w:pPr>
      <w:shd w:val="clear" w:color="auto" w:fill="FFFFFF"/>
      <w:spacing w:before="0" w:beforeAutospacing="0" w:after="0" w:afterAutospacing="0" w:line="360" w:lineRule="auto"/>
      <w:ind w:firstLine="567"/>
      <w:jc w:val="both"/>
    </w:pPr>
    <w:rPr>
      <w:rFonts w:ascii="Times New Roman" w:eastAsia="Times New Roman" w:hAnsi="Times New Roman" w:cs="Times New Roman"/>
      <w:sz w:val="28"/>
      <w:szCs w:val="20"/>
    </w:rPr>
  </w:style>
  <w:style w:type="character" w:customStyle="1" w:styleId="22">
    <w:name w:val="Основной текст с отступом 2 Знак"/>
    <w:link w:val="21"/>
    <w:uiPriority w:val="99"/>
    <w:semiHidden/>
    <w:rPr>
      <w:rFonts w:ascii="Arial Unicode MS" w:eastAsia="Arial Unicode MS" w:hAnsi="Arial Unicode MS" w:cs="Arial Unicode MS"/>
      <w:sz w:val="24"/>
      <w:szCs w:val="24"/>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sz w:val="20"/>
      <w:szCs w:val="20"/>
    </w:rPr>
  </w:style>
  <w:style w:type="character" w:customStyle="1" w:styleId="HTML0">
    <w:name w:val="Стандартный HTML Знак"/>
    <w:link w:val="HTML"/>
    <w:uiPriority w:val="99"/>
    <w:semiHidden/>
    <w:rPr>
      <w:rFonts w:ascii="Courier New" w:eastAsia="Arial Unicode MS" w:hAnsi="Courier New" w:cs="Courier New"/>
    </w:rPr>
  </w:style>
  <w:style w:type="paragraph" w:styleId="af6">
    <w:name w:val="header"/>
    <w:basedOn w:val="a"/>
    <w:link w:val="af7"/>
    <w:uiPriority w:val="99"/>
    <w:semiHidden/>
    <w:pPr>
      <w:tabs>
        <w:tab w:val="center" w:pos="4677"/>
        <w:tab w:val="right" w:pos="9355"/>
      </w:tabs>
      <w:spacing w:before="0" w:beforeAutospacing="0" w:after="0" w:afterAutospacing="0" w:line="360" w:lineRule="auto"/>
      <w:ind w:firstLine="709"/>
      <w:jc w:val="both"/>
    </w:pPr>
    <w:rPr>
      <w:rFonts w:ascii="Times New Roman" w:eastAsia="Times New Roman" w:hAnsi="Times New Roman" w:cs="Times New Roman"/>
      <w:sz w:val="28"/>
      <w:szCs w:val="20"/>
    </w:rPr>
  </w:style>
  <w:style w:type="character" w:customStyle="1" w:styleId="af7">
    <w:name w:val="Верхний колонтитул Знак"/>
    <w:link w:val="af6"/>
    <w:uiPriority w:val="99"/>
    <w:semiHidden/>
    <w:rPr>
      <w:rFonts w:ascii="Arial Unicode MS" w:eastAsia="Arial Unicode MS" w:hAnsi="Arial Unicode MS" w:cs="Arial Unicode MS"/>
      <w:sz w:val="24"/>
      <w:szCs w:val="24"/>
    </w:rPr>
  </w:style>
  <w:style w:type="paragraph" w:styleId="11">
    <w:name w:val="toc 1"/>
    <w:basedOn w:val="a"/>
    <w:next w:val="a"/>
    <w:autoRedefine/>
    <w:uiPriority w:val="39"/>
    <w:semiHidden/>
    <w:pPr>
      <w:spacing w:before="0" w:beforeAutospacing="0" w:after="0" w:afterAutospacing="0" w:line="360" w:lineRule="auto"/>
      <w:ind w:firstLine="709"/>
      <w:jc w:val="both"/>
    </w:pPr>
    <w:rPr>
      <w:rFonts w:ascii="Times New Roman" w:eastAsia="Times New Roman" w:hAnsi="Times New Roman" w:cs="Times New Roman"/>
      <w:sz w:val="28"/>
      <w:szCs w:val="20"/>
    </w:rPr>
  </w:style>
  <w:style w:type="paragraph" w:styleId="23">
    <w:name w:val="toc 2"/>
    <w:basedOn w:val="a"/>
    <w:next w:val="a"/>
    <w:autoRedefine/>
    <w:uiPriority w:val="39"/>
    <w:semiHidden/>
    <w:pPr>
      <w:spacing w:before="0" w:beforeAutospacing="0" w:after="0" w:afterAutospacing="0" w:line="360" w:lineRule="auto"/>
      <w:ind w:left="280" w:firstLine="709"/>
      <w:jc w:val="both"/>
    </w:pPr>
    <w:rPr>
      <w:rFonts w:ascii="Times New Roman" w:eastAsia="Times New Roman" w:hAnsi="Times New Roman" w:cs="Times New Roman"/>
      <w:sz w:val="28"/>
      <w:szCs w:val="20"/>
    </w:rPr>
  </w:style>
  <w:style w:type="paragraph" w:styleId="31">
    <w:name w:val="toc 3"/>
    <w:basedOn w:val="a"/>
    <w:next w:val="a"/>
    <w:autoRedefine/>
    <w:uiPriority w:val="39"/>
    <w:semiHidden/>
    <w:pPr>
      <w:spacing w:before="0" w:beforeAutospacing="0" w:after="0" w:afterAutospacing="0" w:line="360" w:lineRule="auto"/>
      <w:ind w:left="560" w:firstLine="709"/>
      <w:jc w:val="both"/>
    </w:pPr>
    <w:rPr>
      <w:rFonts w:ascii="Times New Roman" w:eastAsia="Times New Roman" w:hAnsi="Times New Roman" w:cs="Times New Roman"/>
      <w:sz w:val="28"/>
      <w:szCs w:val="20"/>
    </w:rPr>
  </w:style>
  <w:style w:type="paragraph" w:styleId="41">
    <w:name w:val="toc 4"/>
    <w:basedOn w:val="a"/>
    <w:next w:val="a"/>
    <w:autoRedefine/>
    <w:uiPriority w:val="39"/>
    <w:semiHidden/>
    <w:pPr>
      <w:spacing w:before="0" w:beforeAutospacing="0" w:after="0" w:afterAutospacing="0" w:line="360" w:lineRule="auto"/>
      <w:ind w:left="840" w:firstLine="709"/>
      <w:jc w:val="both"/>
    </w:pPr>
    <w:rPr>
      <w:rFonts w:ascii="Times New Roman" w:eastAsia="Times New Roman" w:hAnsi="Times New Roman" w:cs="Times New Roman"/>
      <w:sz w:val="28"/>
      <w:szCs w:val="20"/>
    </w:rPr>
  </w:style>
  <w:style w:type="paragraph" w:styleId="51">
    <w:name w:val="toc 5"/>
    <w:basedOn w:val="a"/>
    <w:next w:val="a"/>
    <w:autoRedefine/>
    <w:uiPriority w:val="39"/>
    <w:semiHidden/>
    <w:pPr>
      <w:spacing w:before="0" w:beforeAutospacing="0" w:after="0" w:afterAutospacing="0" w:line="360" w:lineRule="auto"/>
      <w:ind w:left="1120" w:firstLine="709"/>
      <w:jc w:val="both"/>
    </w:pPr>
    <w:rPr>
      <w:rFonts w:ascii="Times New Roman" w:eastAsia="Times New Roman" w:hAnsi="Times New Roman" w:cs="Times New Roman"/>
      <w:sz w:val="28"/>
      <w:szCs w:val="20"/>
    </w:rPr>
  </w:style>
  <w:style w:type="paragraph" w:styleId="61">
    <w:name w:val="toc 6"/>
    <w:basedOn w:val="a"/>
    <w:next w:val="a"/>
    <w:autoRedefine/>
    <w:uiPriority w:val="39"/>
    <w:semiHidden/>
    <w:pPr>
      <w:spacing w:before="0" w:beforeAutospacing="0" w:after="0" w:afterAutospacing="0" w:line="360" w:lineRule="auto"/>
      <w:ind w:left="1400" w:firstLine="709"/>
      <w:jc w:val="both"/>
    </w:pPr>
    <w:rPr>
      <w:rFonts w:ascii="Times New Roman" w:eastAsia="Times New Roman" w:hAnsi="Times New Roman" w:cs="Times New Roman"/>
      <w:sz w:val="28"/>
      <w:szCs w:val="20"/>
    </w:rPr>
  </w:style>
  <w:style w:type="paragraph" w:styleId="71">
    <w:name w:val="toc 7"/>
    <w:basedOn w:val="a"/>
    <w:next w:val="a"/>
    <w:autoRedefine/>
    <w:uiPriority w:val="39"/>
    <w:semiHidden/>
    <w:pPr>
      <w:spacing w:before="0" w:beforeAutospacing="0" w:after="0" w:afterAutospacing="0" w:line="360" w:lineRule="auto"/>
      <w:ind w:left="1680" w:firstLine="709"/>
      <w:jc w:val="both"/>
    </w:pPr>
    <w:rPr>
      <w:rFonts w:ascii="Times New Roman" w:eastAsia="Times New Roman" w:hAnsi="Times New Roman" w:cs="Times New Roman"/>
      <w:sz w:val="28"/>
      <w:szCs w:val="20"/>
    </w:rPr>
  </w:style>
  <w:style w:type="paragraph" w:styleId="8">
    <w:name w:val="toc 8"/>
    <w:basedOn w:val="a"/>
    <w:next w:val="a"/>
    <w:autoRedefine/>
    <w:uiPriority w:val="39"/>
    <w:semiHidden/>
    <w:pPr>
      <w:spacing w:before="0" w:beforeAutospacing="0" w:after="0" w:afterAutospacing="0" w:line="360" w:lineRule="auto"/>
      <w:ind w:left="1960" w:firstLine="709"/>
      <w:jc w:val="both"/>
    </w:pPr>
    <w:rPr>
      <w:rFonts w:ascii="Times New Roman" w:eastAsia="Times New Roman" w:hAnsi="Times New Roman" w:cs="Times New Roman"/>
      <w:sz w:val="28"/>
      <w:szCs w:val="20"/>
    </w:rPr>
  </w:style>
  <w:style w:type="paragraph" w:styleId="9">
    <w:name w:val="toc 9"/>
    <w:basedOn w:val="a"/>
    <w:next w:val="a"/>
    <w:autoRedefine/>
    <w:uiPriority w:val="39"/>
    <w:semiHidden/>
    <w:pPr>
      <w:spacing w:before="0" w:beforeAutospacing="0" w:after="0" w:afterAutospacing="0" w:line="360" w:lineRule="auto"/>
      <w:ind w:left="2240" w:firstLine="709"/>
      <w:jc w:val="both"/>
    </w:pPr>
    <w:rPr>
      <w:rFonts w:ascii="Times New Roman" w:eastAsia="Times New Roman" w:hAnsi="Times New Roman" w:cs="Times New Roman"/>
      <w:sz w:val="28"/>
      <w:szCs w:val="20"/>
    </w:rPr>
  </w:style>
  <w:style w:type="character" w:styleId="af8">
    <w:name w:val="Hyperlink"/>
    <w:uiPriority w:val="99"/>
    <w:semiHidden/>
    <w:rPr>
      <w:rFonts w:cs="Times New Roman"/>
      <w:color w:val="0000FF"/>
      <w:u w:val="single"/>
    </w:rPr>
  </w:style>
  <w:style w:type="paragraph" w:styleId="af9">
    <w:name w:val="footer"/>
    <w:basedOn w:val="a"/>
    <w:link w:val="afa"/>
    <w:uiPriority w:val="99"/>
    <w:semiHidden/>
    <w:unhideWhenUsed/>
    <w:rsid w:val="00402218"/>
    <w:pPr>
      <w:tabs>
        <w:tab w:val="center" w:pos="4677"/>
        <w:tab w:val="right" w:pos="9355"/>
      </w:tabs>
      <w:spacing w:before="0" w:beforeAutospacing="0" w:after="0" w:afterAutospacing="0" w:line="360" w:lineRule="auto"/>
      <w:ind w:firstLine="709"/>
      <w:jc w:val="both"/>
    </w:pPr>
    <w:rPr>
      <w:rFonts w:ascii="Times New Roman" w:eastAsia="Times New Roman" w:hAnsi="Times New Roman" w:cs="Times New Roman"/>
      <w:sz w:val="28"/>
      <w:szCs w:val="20"/>
    </w:rPr>
  </w:style>
  <w:style w:type="character" w:customStyle="1" w:styleId="afa">
    <w:name w:val="Нижний колонтитул Знак"/>
    <w:link w:val="af9"/>
    <w:uiPriority w:val="99"/>
    <w:semiHidden/>
    <w:locked/>
    <w:rsid w:val="00402218"/>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5558</Words>
  <Characters>31681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Дополнения для Word 97/2000</dc:subject>
  <dc:creator>МИЛЬБЕРГ</dc:creator>
  <cp:keywords/>
  <dc:description/>
  <cp:lastModifiedBy>admin</cp:lastModifiedBy>
  <cp:revision>2</cp:revision>
  <dcterms:created xsi:type="dcterms:W3CDTF">2014-02-20T21:10:00Z</dcterms:created>
  <dcterms:modified xsi:type="dcterms:W3CDTF">2014-02-20T21:10:00Z</dcterms:modified>
</cp:coreProperties>
</file>