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E5C4E" w:rsidRPr="009E5C4E" w:rsidRDefault="009E5C4E" w:rsidP="009E5C4E">
      <w:pPr>
        <w:autoSpaceDE w:val="0"/>
        <w:autoSpaceDN w:val="0"/>
        <w:adjustRightInd w:val="0"/>
        <w:spacing w:line="360" w:lineRule="auto"/>
        <w:jc w:val="center"/>
        <w:rPr>
          <w:b/>
          <w:bCs/>
          <w:noProof/>
          <w:color w:val="000000"/>
          <w:kern w:val="28"/>
          <w:sz w:val="28"/>
          <w:szCs w:val="22"/>
        </w:rPr>
      </w:pPr>
    </w:p>
    <w:p w:rsidR="0096272F" w:rsidRPr="009E5C4E" w:rsidRDefault="009E5C4E" w:rsidP="009E5C4E">
      <w:pPr>
        <w:autoSpaceDE w:val="0"/>
        <w:autoSpaceDN w:val="0"/>
        <w:adjustRightInd w:val="0"/>
        <w:spacing w:line="360" w:lineRule="auto"/>
        <w:jc w:val="center"/>
        <w:rPr>
          <w:b/>
          <w:bCs/>
          <w:noProof/>
          <w:color w:val="000000"/>
          <w:kern w:val="28"/>
          <w:sz w:val="28"/>
          <w:szCs w:val="22"/>
        </w:rPr>
      </w:pPr>
      <w:r w:rsidRPr="009E5C4E">
        <w:rPr>
          <w:b/>
          <w:bCs/>
          <w:noProof/>
          <w:color w:val="000000"/>
          <w:kern w:val="28"/>
          <w:sz w:val="28"/>
          <w:szCs w:val="22"/>
        </w:rPr>
        <w:t>Введение специальной пошлины на импорт стеклосеток</w:t>
      </w:r>
    </w:p>
    <w:p w:rsidR="0096272F" w:rsidRPr="009E5C4E" w:rsidRDefault="009E5C4E"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br w:type="page"/>
      </w:r>
      <w:r w:rsidR="0096272F" w:rsidRPr="009E5C4E">
        <w:rPr>
          <w:noProof/>
          <w:color w:val="000000"/>
          <w:kern w:val="28"/>
          <w:sz w:val="28"/>
          <w:szCs w:val="18"/>
        </w:rPr>
        <w:t>В соответствии со ст. 242 Таможенного кодекса Республики Беларусь (далее - ТК) одними из видов таможенных платежей являются специальные, антидемпинговые и компенсационные пошлины. Порядок и основания для введения таких пошлин предусмотрены Законом Республики Беларусь от 03.02.1993 № 2151-XII «О таможенном тарифе» (далее</w:t>
      </w:r>
      <w:r w:rsidRPr="009E5C4E">
        <w:rPr>
          <w:noProof/>
          <w:color w:val="000000"/>
          <w:kern w:val="28"/>
          <w:sz w:val="28"/>
          <w:szCs w:val="18"/>
        </w:rPr>
        <w:t xml:space="preserve"> </w:t>
      </w:r>
      <w:r w:rsidR="0096272F" w:rsidRPr="009E5C4E">
        <w:rPr>
          <w:noProof/>
          <w:color w:val="000000"/>
          <w:kern w:val="28"/>
          <w:sz w:val="28"/>
          <w:szCs w:val="18"/>
        </w:rPr>
        <w:t>- Закон № 2151-XII) и Законом Республики Беларусь от 25.11.2004 № 346-З «О мерах по защите экономических интересов Республики Беларусь при осуществлении внешней торговли товарами» (далее</w:t>
      </w:r>
      <w:r w:rsidRPr="009E5C4E">
        <w:rPr>
          <w:noProof/>
          <w:color w:val="000000"/>
          <w:kern w:val="28"/>
          <w:sz w:val="28"/>
          <w:szCs w:val="18"/>
        </w:rPr>
        <w:t xml:space="preserve"> </w:t>
      </w:r>
      <w:r w:rsidR="0096272F" w:rsidRPr="009E5C4E">
        <w:rPr>
          <w:noProof/>
          <w:color w:val="000000"/>
          <w:kern w:val="28"/>
          <w:sz w:val="28"/>
          <w:szCs w:val="18"/>
        </w:rPr>
        <w:t>- Закон № 346-З). Согласно вышеуказанным нормативным правовым актам Республики Беларусь введение специальных, антидемпинговых и компенсационных пошлин является одной из мер по защите экономических интересов Республики Беларусь при осуществлении внешней торговли товарами.</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Действующими в настоящее время решениями Президента Республики Беларусь и Правительства Республики Беларусь введены специальная и антидемпинговая пошлины на следующие товары:</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специальная пошлина - Указом Президента Республики Беларусь от 29.10.2007 №</w:t>
      </w:r>
      <w:r w:rsidR="009E5C4E" w:rsidRPr="009E5C4E">
        <w:rPr>
          <w:iCs/>
          <w:noProof/>
          <w:color w:val="000000"/>
          <w:kern w:val="28"/>
          <w:sz w:val="28"/>
          <w:szCs w:val="18"/>
        </w:rPr>
        <w:t xml:space="preserve"> </w:t>
      </w:r>
      <w:r w:rsidRPr="009E5C4E">
        <w:rPr>
          <w:iCs/>
          <w:noProof/>
          <w:color w:val="000000"/>
          <w:kern w:val="28"/>
          <w:sz w:val="28"/>
          <w:szCs w:val="18"/>
        </w:rPr>
        <w:t xml:space="preserve">543 «О введении специальной пошлины на преформы, происходящие из Украины и ввозимые на таможенную территорию Республики Беларусь» на преформы, происходящие из Украины и ввозимые на таможенную территорию Республики Беларусь для изготовления изделий емкостью не более </w:t>
      </w:r>
      <w:smartTag w:uri="urn:schemas-microsoft-com:office:smarttags" w:element="metricconverter">
        <w:smartTagPr>
          <w:attr w:name="ProductID" w:val="2 литров"/>
        </w:smartTagPr>
        <w:r w:rsidRPr="009E5C4E">
          <w:rPr>
            <w:iCs/>
            <w:noProof/>
            <w:color w:val="000000"/>
            <w:kern w:val="28"/>
            <w:sz w:val="28"/>
            <w:szCs w:val="18"/>
          </w:rPr>
          <w:t>2 литров</w:t>
        </w:r>
      </w:smartTag>
      <w:r w:rsidRPr="009E5C4E">
        <w:rPr>
          <w:iCs/>
          <w:noProof/>
          <w:color w:val="000000"/>
          <w:kern w:val="28"/>
          <w:sz w:val="28"/>
          <w:szCs w:val="18"/>
        </w:rPr>
        <w:t xml:space="preserve"> (код 3923 30 101 0 Товарной номенклатуры внешнеэкономической деятельности Республики Беларусь (далее</w:t>
      </w:r>
      <w:r w:rsidR="009E5C4E" w:rsidRPr="009E5C4E">
        <w:rPr>
          <w:iCs/>
          <w:noProof/>
          <w:color w:val="000000"/>
          <w:kern w:val="28"/>
          <w:sz w:val="28"/>
          <w:szCs w:val="18"/>
        </w:rPr>
        <w:t xml:space="preserve"> </w:t>
      </w:r>
      <w:r w:rsidRPr="009E5C4E">
        <w:rPr>
          <w:iCs/>
          <w:noProof/>
          <w:color w:val="000000"/>
          <w:kern w:val="28"/>
          <w:sz w:val="28"/>
          <w:szCs w:val="18"/>
        </w:rPr>
        <w:t>- ТН</w:t>
      </w:r>
      <w:r w:rsidR="009E5C4E" w:rsidRPr="009E5C4E">
        <w:rPr>
          <w:iCs/>
          <w:noProof/>
          <w:color w:val="000000"/>
          <w:kern w:val="28"/>
          <w:sz w:val="28"/>
          <w:szCs w:val="18"/>
        </w:rPr>
        <w:t xml:space="preserve"> </w:t>
      </w:r>
      <w:r w:rsidRPr="009E5C4E">
        <w:rPr>
          <w:iCs/>
          <w:noProof/>
          <w:color w:val="000000"/>
          <w:kern w:val="28"/>
          <w:sz w:val="28"/>
          <w:szCs w:val="18"/>
        </w:rPr>
        <w:t>ВЭД)). Ее размер составляет 20 % от таможенной стоимости, а срок действия</w:t>
      </w:r>
      <w:r w:rsidR="009E5C4E" w:rsidRPr="009E5C4E">
        <w:rPr>
          <w:iCs/>
          <w:noProof/>
          <w:color w:val="000000"/>
          <w:kern w:val="28"/>
          <w:sz w:val="28"/>
          <w:szCs w:val="18"/>
        </w:rPr>
        <w:t xml:space="preserve"> </w:t>
      </w:r>
      <w:r w:rsidRPr="009E5C4E">
        <w:rPr>
          <w:iCs/>
          <w:noProof/>
          <w:color w:val="000000"/>
          <w:kern w:val="28"/>
          <w:sz w:val="28"/>
          <w:szCs w:val="18"/>
        </w:rPr>
        <w:t>- с 01.01.2008 по 31.12.2011;</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антидемпинговая пошлина - постановлением Совета Министров Республики Беларусь от 18.08.2008 № 1178 «О введении антидемпинговой пошлины на карамель, происходящую из Украины и ввозимую на таможенную территорию Республики Беларусь» на карамель, происходящую из Украины, не содержащую какао (коды 1704 90</w:t>
      </w:r>
      <w:r w:rsidR="009E5C4E" w:rsidRPr="009E5C4E">
        <w:rPr>
          <w:iCs/>
          <w:noProof/>
          <w:color w:val="000000"/>
          <w:kern w:val="28"/>
          <w:sz w:val="28"/>
          <w:szCs w:val="18"/>
        </w:rPr>
        <w:t xml:space="preserve"> </w:t>
      </w:r>
      <w:r w:rsidRPr="009E5C4E">
        <w:rPr>
          <w:iCs/>
          <w:noProof/>
          <w:color w:val="000000"/>
          <w:kern w:val="28"/>
          <w:sz w:val="28"/>
          <w:szCs w:val="18"/>
        </w:rPr>
        <w:t>710</w:t>
      </w:r>
      <w:r w:rsidR="009E5C4E" w:rsidRPr="009E5C4E">
        <w:rPr>
          <w:iCs/>
          <w:noProof/>
          <w:color w:val="000000"/>
          <w:kern w:val="28"/>
          <w:sz w:val="28"/>
          <w:szCs w:val="18"/>
        </w:rPr>
        <w:t xml:space="preserve"> </w:t>
      </w:r>
      <w:r w:rsidRPr="009E5C4E">
        <w:rPr>
          <w:iCs/>
          <w:noProof/>
          <w:color w:val="000000"/>
          <w:kern w:val="28"/>
          <w:sz w:val="28"/>
          <w:szCs w:val="18"/>
        </w:rPr>
        <w:t>0, 1704 90 750 0 ТН ВЭД в размере 11,76 % от таможенной стоимости; карамель, происходящую из Украины, содержащую какао (коды 1806 90 500 1, 1806 90 500 2, 1806 90</w:t>
      </w:r>
      <w:r w:rsidR="009E5C4E" w:rsidRPr="009E5C4E">
        <w:rPr>
          <w:iCs/>
          <w:noProof/>
          <w:color w:val="000000"/>
          <w:kern w:val="28"/>
          <w:sz w:val="28"/>
          <w:szCs w:val="18"/>
        </w:rPr>
        <w:t xml:space="preserve"> </w:t>
      </w:r>
      <w:r w:rsidRPr="009E5C4E">
        <w:rPr>
          <w:iCs/>
          <w:noProof/>
          <w:color w:val="000000"/>
          <w:kern w:val="28"/>
          <w:sz w:val="28"/>
          <w:szCs w:val="18"/>
        </w:rPr>
        <w:t>500</w:t>
      </w:r>
      <w:r w:rsidR="009E5C4E" w:rsidRPr="009E5C4E">
        <w:rPr>
          <w:iCs/>
          <w:noProof/>
          <w:color w:val="000000"/>
          <w:kern w:val="28"/>
          <w:sz w:val="28"/>
          <w:szCs w:val="18"/>
        </w:rPr>
        <w:t xml:space="preserve"> </w:t>
      </w:r>
      <w:r w:rsidRPr="009E5C4E">
        <w:rPr>
          <w:iCs/>
          <w:noProof/>
          <w:color w:val="000000"/>
          <w:kern w:val="28"/>
          <w:sz w:val="28"/>
          <w:szCs w:val="18"/>
        </w:rPr>
        <w:t xml:space="preserve">9 ТН ВЭД в размере 23,9 % от таможенной стоимости. Срок действия указанных ставок антидемпинговой пошлины - с 23.08.2008 по 22.08.2011. При этом с 7 октября </w:t>
      </w:r>
      <w:smartTag w:uri="urn:schemas-microsoft-com:office:smarttags" w:element="metricconverter">
        <w:smartTagPr>
          <w:attr w:name="ProductID" w:val="2009 г"/>
        </w:smartTagPr>
        <w:r w:rsidRPr="009E5C4E">
          <w:rPr>
            <w:iCs/>
            <w:noProof/>
            <w:color w:val="000000"/>
            <w:kern w:val="28"/>
            <w:sz w:val="28"/>
            <w:szCs w:val="18"/>
          </w:rPr>
          <w:t>2009 г</w:t>
        </w:r>
      </w:smartTag>
      <w:r w:rsidRPr="009E5C4E">
        <w:rPr>
          <w:iCs/>
          <w:noProof/>
          <w:color w:val="000000"/>
          <w:kern w:val="28"/>
          <w:sz w:val="28"/>
          <w:szCs w:val="18"/>
        </w:rPr>
        <w:t>. постановлением Совета Министров Республики Беларусь от 30.09.2009 №</w:t>
      </w:r>
      <w:r w:rsidR="009E5C4E" w:rsidRPr="009E5C4E">
        <w:rPr>
          <w:iCs/>
          <w:noProof/>
          <w:color w:val="000000"/>
          <w:kern w:val="28"/>
          <w:sz w:val="28"/>
          <w:szCs w:val="18"/>
        </w:rPr>
        <w:t xml:space="preserve"> </w:t>
      </w:r>
      <w:r w:rsidRPr="009E5C4E">
        <w:rPr>
          <w:iCs/>
          <w:noProof/>
          <w:color w:val="000000"/>
          <w:kern w:val="28"/>
          <w:sz w:val="28"/>
          <w:szCs w:val="18"/>
        </w:rPr>
        <w:t>1268 от данной пошлины освобождены товары, поставляемые в Республику Беларусь дочерним предприятием «Кондитерская корпорация «Рошен», закрытым акционерным обществом «Житомирские ласощи» и акционерным обществом закрытого типа «Харьковская бисквитная фабрика», при условии выполнения взятых данными организациями ценовых обязательств и предоставления соответствующего инвойса-обязательства и сертификата о происхождении товара формы СТ-1.</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 xml:space="preserve">Комментируемый Указ Президента Республики Беларусь от 12.10.2009 № 498 «О специальной пошлине на ввозимые на таможенную территорию Республики Беларусь сетки стеклянные (стеклосетки)» (далее - Указ № 498) стал еще одним документом, устанавливающим ставки специальных пошлин. Так, данным Указом установлена ставка такой пошлины на ввозимые на таможенную территорию Республики Беларусь сетки стеклянные (стеклосетки), являющиеся изделиями из стеклянного волокна, в которых два или более слоя параллельных нитей (ровингов) скреплены химическим, механическим или тканым способом, с открытой ячейкой размером </w:t>
      </w:r>
      <w:smartTag w:uri="urn:schemas-microsoft-com:office:smarttags" w:element="metricconverter">
        <w:smartTagPr>
          <w:attr w:name="ProductID" w:val="1 мм"/>
        </w:smartTagPr>
        <w:r w:rsidRPr="009E5C4E">
          <w:rPr>
            <w:noProof/>
            <w:color w:val="000000"/>
            <w:kern w:val="28"/>
            <w:sz w:val="28"/>
            <w:szCs w:val="18"/>
          </w:rPr>
          <w:t>1 мм</w:t>
        </w:r>
      </w:smartTag>
      <w:r w:rsidRPr="009E5C4E">
        <w:rPr>
          <w:noProof/>
          <w:color w:val="000000"/>
          <w:kern w:val="28"/>
          <w:sz w:val="28"/>
          <w:szCs w:val="18"/>
        </w:rPr>
        <w:t xml:space="preserve"> и более по любой ее стороне, классифицируемые в подсубпозициях 7019 19 100, 7019 19 900, 7019 32 000, 701939 000 9, 7019 40 000 0, 7019 51000 0, 7019 52 000 0, 7019 59 000 0, 7019 90 100 0, 7019 90 910 0, 7019 90 990 0 ТН ВЭД.</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 xml:space="preserve">Размер ставки специальной пошлины на вышеуказанный товар составил 33,4 % от таможенной стоимости. Данная пошлина вводится с 4 февраля </w:t>
      </w:r>
      <w:smartTag w:uri="urn:schemas-microsoft-com:office:smarttags" w:element="metricconverter">
        <w:smartTagPr>
          <w:attr w:name="ProductID" w:val="2010 г"/>
        </w:smartTagPr>
        <w:r w:rsidRPr="009E5C4E">
          <w:rPr>
            <w:noProof/>
            <w:color w:val="000000"/>
            <w:kern w:val="28"/>
            <w:sz w:val="28"/>
            <w:szCs w:val="18"/>
          </w:rPr>
          <w:t>2010 г</w:t>
        </w:r>
      </w:smartTag>
      <w:r w:rsidRPr="009E5C4E">
        <w:rPr>
          <w:noProof/>
          <w:color w:val="000000"/>
          <w:kern w:val="28"/>
          <w:sz w:val="28"/>
          <w:szCs w:val="18"/>
        </w:rPr>
        <w:t>. сроком на 3 года.</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Согласно Указу № 498 Белорусский государственный концерн по нефти и химии уполномочен давать по запросу таможенных органов Республики Беларусь заключения об отнесении (неотнесении) ввозимых на таможенную территорию Республики Беларусь товаров к сеткам стеклянным (стеклосеткам), перечисленным в Указе № 498.</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Отметим, что введенная комментируемым нормативным правовым актом специальная пошлина применяется в отношении вышеперечисленных товаров независимо от страны, из которой ввозятся и (или) происходят товары. Единственное исключение</w:t>
      </w:r>
      <w:r w:rsidR="009E5C4E" w:rsidRPr="009E5C4E">
        <w:rPr>
          <w:noProof/>
          <w:color w:val="000000"/>
          <w:kern w:val="28"/>
          <w:sz w:val="28"/>
          <w:szCs w:val="18"/>
        </w:rPr>
        <w:t xml:space="preserve"> </w:t>
      </w:r>
      <w:r w:rsidRPr="009E5C4E">
        <w:rPr>
          <w:noProof/>
          <w:color w:val="000000"/>
          <w:kern w:val="28"/>
          <w:sz w:val="28"/>
          <w:szCs w:val="18"/>
        </w:rPr>
        <w:t>- ее действие не распространяется на сетки стеклянные (стеклосетки), происходящие из государств - участников таможенного союза, а также из наименее развитых стран (территорий), которым предоставляются тарифные преференции Республики Беларусь.</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Перечень наименее развитых стран (территорий), которым предоставляются тарифные преференции Республики Беларусь, определен Декретом Президента Республики Беларусь от 18.04.2003 № 14 «Об установлении тарифных преференций» и</w:t>
      </w:r>
      <w:r w:rsidR="009E5C4E" w:rsidRPr="009E5C4E">
        <w:rPr>
          <w:iCs/>
          <w:noProof/>
          <w:color w:val="000000"/>
          <w:kern w:val="28"/>
          <w:sz w:val="28"/>
          <w:szCs w:val="18"/>
        </w:rPr>
        <w:t xml:space="preserve"> </w:t>
      </w:r>
      <w:r w:rsidRPr="009E5C4E">
        <w:rPr>
          <w:iCs/>
          <w:noProof/>
          <w:color w:val="000000"/>
          <w:kern w:val="28"/>
          <w:sz w:val="28"/>
          <w:szCs w:val="18"/>
        </w:rPr>
        <w:t>включает в себя следующие государства: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 Афганистан</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 Народная Республика Бангладеш</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 Республика Бенин</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 Республика Ботсвана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5. Буркина-Фасо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6. Республика Бурунди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7. Королевство Бутан</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8. Республика Вануату</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9. Республика Гаити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10. Республика Гамбия</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11. Гвинейская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12. Республика Гвинея-Бисау</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13. Республика Джибути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14. Заир</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15. Республика Замбия</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16. Независимое Государство Западное Самоа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17. Йеменская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18. Республика Кабо-Верде</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19. Королевство Камбоджа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20. Республика Кирибати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21. Федеральная Исламская Республика Коморские Острова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22. Лаосская Народно-Демократическая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23. Королевство Лесото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24. Республика Либерия</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25. Исламская Республика Мавритания</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26. Республика Мадагаскар</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27. Республика Малави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28. Республика Мали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29. Мальдивская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30. Республика Мозамбик</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31. Республика Союз Мьянмы</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32. Королевство Непал</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33. Республика Нигер</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34. Руандийская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35. Демократическая Республика Сан-Томе и Принсипи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36. Соломоновы Острова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37. Сомалийская Демократическая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38. Республика Судан</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39. Республика Сьерра-Леоне</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40. Объединенная Республика Танзания</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41. Тоголезская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42. Тувалу</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43. Республика Уганда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44. Центральноафриканская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45. Республика Чад</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46. Республика Экваториальная Гвинея</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47. Федеративная Демократическая Республика</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48. Эфиопия</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Согласно ст. 242 ТК специальные пошлины, устанавливаемые в соответствии с законодательством о мерах по защите экономических интересов Республики Беларусь при осуществлении внешней торговли товарами, взимаются по правилам, предусмотренным ТК для взимания ввозных таможенных пошлин. Следовательно, руководствуясь ст. 4-1 Закона № 2151-XII для исчисления вышеуказанных специальных пошлин возможно применение следующей формулы:</w:t>
      </w:r>
    </w:p>
    <w:p w:rsidR="009E5C4E" w:rsidRPr="009E5C4E" w:rsidRDefault="009E5C4E" w:rsidP="009E5C4E">
      <w:pPr>
        <w:autoSpaceDE w:val="0"/>
        <w:autoSpaceDN w:val="0"/>
        <w:adjustRightInd w:val="0"/>
        <w:spacing w:line="360" w:lineRule="auto"/>
        <w:ind w:firstLine="709"/>
        <w:jc w:val="both"/>
        <w:rPr>
          <w:iCs/>
          <w:noProof/>
          <w:color w:val="000000"/>
          <w:kern w:val="28"/>
          <w:sz w:val="28"/>
          <w:szCs w:val="18"/>
        </w:rPr>
      </w:pP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С = Н х П / 100 %,</w:t>
      </w:r>
    </w:p>
    <w:p w:rsidR="009E5C4E" w:rsidRPr="009E5C4E" w:rsidRDefault="009E5C4E" w:rsidP="009E5C4E">
      <w:pPr>
        <w:autoSpaceDE w:val="0"/>
        <w:autoSpaceDN w:val="0"/>
        <w:adjustRightInd w:val="0"/>
        <w:spacing w:line="360" w:lineRule="auto"/>
        <w:ind w:firstLine="709"/>
        <w:jc w:val="both"/>
        <w:rPr>
          <w:noProof/>
          <w:color w:val="000000"/>
          <w:kern w:val="28"/>
          <w:sz w:val="28"/>
          <w:szCs w:val="18"/>
        </w:rPr>
      </w:pP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где</w:t>
      </w:r>
      <w:r w:rsidRPr="009E5C4E">
        <w:rPr>
          <w:bCs/>
          <w:iCs/>
          <w:noProof/>
          <w:color w:val="000000"/>
          <w:kern w:val="28"/>
          <w:sz w:val="28"/>
          <w:szCs w:val="18"/>
        </w:rPr>
        <w:t xml:space="preserve"> С </w:t>
      </w:r>
      <w:r w:rsidRPr="009E5C4E">
        <w:rPr>
          <w:noProof/>
          <w:color w:val="000000"/>
          <w:kern w:val="28"/>
          <w:sz w:val="28"/>
          <w:szCs w:val="18"/>
        </w:rPr>
        <w:t>- сумма специальной пошлины;</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bCs/>
          <w:iCs/>
          <w:noProof/>
          <w:color w:val="000000"/>
          <w:kern w:val="28"/>
          <w:sz w:val="28"/>
          <w:szCs w:val="18"/>
        </w:rPr>
        <w:t xml:space="preserve">Н </w:t>
      </w:r>
      <w:r w:rsidRPr="009E5C4E">
        <w:rPr>
          <w:noProof/>
          <w:color w:val="000000"/>
          <w:kern w:val="28"/>
          <w:sz w:val="28"/>
          <w:szCs w:val="18"/>
        </w:rPr>
        <w:t>- налоговая база (таможенная стоимость);</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bCs/>
          <w:iCs/>
          <w:noProof/>
          <w:color w:val="000000"/>
          <w:kern w:val="28"/>
          <w:sz w:val="28"/>
          <w:szCs w:val="18"/>
        </w:rPr>
        <w:t>П</w:t>
      </w:r>
      <w:r w:rsidRPr="009E5C4E">
        <w:rPr>
          <w:noProof/>
          <w:color w:val="000000"/>
          <w:kern w:val="28"/>
          <w:sz w:val="28"/>
          <w:szCs w:val="18"/>
        </w:rPr>
        <w:t xml:space="preserve"> - адвалорная ставка специальной пошлины.</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Руководствуясь ст. 248 ТК, исчисление сумм подлежащих уплате специальных пошлин производится их плательщиком самостоятельно в белорусских рублях. Для отражения сведений об исчислении специальных пошлин используется код таможенного платежа 220 «Специальная пошлина» и графа 47 «Исчисление таможенных платежей» таможенной декларации, порядок заполнения которой определен приказом Государственного таможенного комитета Республики Беларусь от 09.07.1998 № 246-ОД «Об утверждении «Положения о таможенном документе «Грузовая таможенная декларация» и «Инструкции о порядке заполнения грузовой таможенной декларации для целей таможенного декларирования товаров».</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В соответствии со ст. 242 ТК налоговое обязательство по уплате специальных пошлин возникает, прекращается, а также подлежит исполнению в порядке, установленном ТК для ввозных таможенных пошлин, с учетом особенностей, предусмотренных законодательством, о мерах по защите экономических интересов Республики Беларусь при осуществлении внешней торговли товарами.</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В этой связи, руководствуясь ст. 160 ТК, налоговое обязательство по уплате специальных пошлин возникает у декларанта при принятии таможенным органом таможенной декларации на помещение товаров, в отношении которых введены такие пошлины, под таможенный режим свободного обращения, который наиболее характерен при ввозе рассматриваемых товаров на таможенную территорию Республики Беларусь. Согласно этой же статье ТК указанное налоговое обязательство подлежит исполнению до выдачи таможенным органом свидетельства о помещении товаров под таможенный режим свободного обращения.</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Действующим законодательством Республики Беларусь оснований для предоставления отсрочки и (или) рассрочки уплаты специальных пошлин не предусмотрено.</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Основными способами уплаты таможенных платежей, в том числе специальных пошлин, согласно ст. 254 ТК являются безналичный порядок либо наличными денежными средствами. В соответствии с Инструкцией о банковском переводе, утвержденной постановлением Правления Национального банка Республики Беларусь от 29.03.2001 № 66 (далее</w:t>
      </w:r>
      <w:r w:rsidR="009E5C4E" w:rsidRPr="009E5C4E">
        <w:rPr>
          <w:noProof/>
          <w:color w:val="000000"/>
          <w:kern w:val="28"/>
          <w:sz w:val="28"/>
          <w:szCs w:val="18"/>
        </w:rPr>
        <w:t xml:space="preserve"> </w:t>
      </w:r>
      <w:r w:rsidRPr="009E5C4E">
        <w:rPr>
          <w:noProof/>
          <w:color w:val="000000"/>
          <w:kern w:val="28"/>
          <w:sz w:val="28"/>
          <w:szCs w:val="18"/>
        </w:rPr>
        <w:t>- Постановление № 66), Инструкцией о порядке исполнения республиканского бюджета по доходам, утвержденной постановлением Министерства финансов Республики Беларусь и Правления Национального банка Республики Беларусь от 08.12.2005 №143/171 (далее - Постановление №</w:t>
      </w:r>
      <w:r w:rsidR="009E5C4E" w:rsidRPr="009E5C4E">
        <w:rPr>
          <w:noProof/>
          <w:color w:val="000000"/>
          <w:kern w:val="28"/>
          <w:sz w:val="28"/>
          <w:szCs w:val="18"/>
        </w:rPr>
        <w:t xml:space="preserve"> </w:t>
      </w:r>
      <w:r w:rsidRPr="009E5C4E">
        <w:rPr>
          <w:noProof/>
          <w:color w:val="000000"/>
          <w:kern w:val="28"/>
          <w:sz w:val="28"/>
          <w:szCs w:val="18"/>
        </w:rPr>
        <w:t>43/171), для подтверждения уплаты таможенных платежей такими способами применяются следующие документы:</w:t>
      </w:r>
    </w:p>
    <w:p w:rsidR="0096272F" w:rsidRPr="009E5C4E" w:rsidRDefault="0096272F" w:rsidP="009E5C4E">
      <w:pPr>
        <w:numPr>
          <w:ilvl w:val="0"/>
          <w:numId w:val="8"/>
        </w:numPr>
        <w:autoSpaceDE w:val="0"/>
        <w:autoSpaceDN w:val="0"/>
        <w:adjustRightInd w:val="0"/>
        <w:spacing w:line="360" w:lineRule="auto"/>
        <w:ind w:left="0" w:firstLine="709"/>
        <w:jc w:val="both"/>
        <w:rPr>
          <w:noProof/>
          <w:color w:val="000000"/>
          <w:kern w:val="28"/>
          <w:sz w:val="28"/>
        </w:rPr>
      </w:pPr>
      <w:r w:rsidRPr="009E5C4E">
        <w:rPr>
          <w:noProof/>
          <w:color w:val="000000"/>
          <w:kern w:val="28"/>
          <w:sz w:val="28"/>
          <w:szCs w:val="18"/>
        </w:rPr>
        <w:t>при безналичной форме уплаты</w:t>
      </w:r>
      <w:r w:rsidR="009E5C4E" w:rsidRPr="009E5C4E">
        <w:rPr>
          <w:noProof/>
          <w:color w:val="000000"/>
          <w:kern w:val="28"/>
          <w:sz w:val="28"/>
          <w:szCs w:val="18"/>
        </w:rPr>
        <w:t xml:space="preserve"> </w:t>
      </w:r>
      <w:r w:rsidRPr="009E5C4E">
        <w:rPr>
          <w:noProof/>
          <w:color w:val="000000"/>
          <w:kern w:val="28"/>
          <w:sz w:val="28"/>
          <w:szCs w:val="18"/>
        </w:rPr>
        <w:t>- экземпляр платежного поручения с отметкой банка о перечислении уплаченных сумм в доход республиканского бюджета, заверенный подписями ответственного исполнителя, главного бухгалтера или его заместителя (лица, уполномоченного осуществлять дополнительный контроль) и скрепленный оттиском печати банка с указанием даты исполнения поручения);</w:t>
      </w:r>
    </w:p>
    <w:p w:rsidR="0096272F" w:rsidRPr="009E5C4E" w:rsidRDefault="0096272F" w:rsidP="009E5C4E">
      <w:pPr>
        <w:numPr>
          <w:ilvl w:val="0"/>
          <w:numId w:val="8"/>
        </w:numPr>
        <w:autoSpaceDE w:val="0"/>
        <w:autoSpaceDN w:val="0"/>
        <w:adjustRightInd w:val="0"/>
        <w:spacing w:line="360" w:lineRule="auto"/>
        <w:ind w:left="0" w:firstLine="709"/>
        <w:jc w:val="both"/>
        <w:rPr>
          <w:noProof/>
          <w:color w:val="000000"/>
          <w:kern w:val="28"/>
          <w:sz w:val="28"/>
        </w:rPr>
      </w:pPr>
      <w:r w:rsidRPr="009E5C4E">
        <w:rPr>
          <w:noProof/>
          <w:color w:val="000000"/>
          <w:kern w:val="28"/>
          <w:sz w:val="28"/>
          <w:szCs w:val="18"/>
        </w:rPr>
        <w:t>при наличной форме уплаты: в кассу таможенного органа - квитанция к приходному кассовому ордеру; через банк, небанковскую кредитно-финансовую организацию, поселковый, сельский исполнительный и распорядительный орган или организацию связи Министерства связи и информатизации Республики Беларусь</w:t>
      </w:r>
      <w:r w:rsidR="009E5C4E" w:rsidRPr="009E5C4E">
        <w:rPr>
          <w:noProof/>
          <w:color w:val="000000"/>
          <w:kern w:val="28"/>
          <w:sz w:val="28"/>
          <w:szCs w:val="18"/>
        </w:rPr>
        <w:t xml:space="preserve"> </w:t>
      </w:r>
      <w:r w:rsidRPr="009E5C4E">
        <w:rPr>
          <w:noProof/>
          <w:color w:val="000000"/>
          <w:kern w:val="28"/>
          <w:sz w:val="28"/>
          <w:szCs w:val="18"/>
        </w:rPr>
        <w:t>- квитанция к извещению на уплату платежей в бюджет.</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Порядок и особенности оформления указанных документов определены Постановлением № 66 и Постановлением №143/171.</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Необходимо обратить внимание, что перечисление денежных средств в уплату таможенных платежей, в том числе специальных пошлин, в безналичном порядке производится на транзитные счета, открываемые главным управлениям Министерства финансов по областям и г. Минску в обособленных (структурных) подразделениях ОАО «АСБ Беларусбанк» на балансовом счете 3602 «Средства доходов бюджета на транзитных счетах Министерства финансов, его территориальных органов». Такие счета открыты по каждой таможне.</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Для специальной пошлины постановлением Министерства финансов Республики Беларусь от 31.12.2008 № 208 «О бюджетной классификации Республики Беларусь» предусмотрен соответствующий раздел и подраздел бюджетной классификации Республики Беларусь. В этой связи код платежа в бюджет для специальных пошлин имеет значение «02207».</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Согласно ст. 254 ТК специальные пошлины могут быть уплачены также путем зачета излишне уплаченных или взысканных сумм таможенных платежей, сумм авансовых платежей или путем обращения денежных средств, внесенных в качестве обеспечения исполнения налогового обязательства по уплате таможенных платежей, в таможенные платежи. При этом согласно Инструкции о порядке реализации взимания таможенных платежей, процентов, утвержденной постановлением Государственного таможенного комитета Республики Беларусь от 24.01.2007 №</w:t>
      </w:r>
      <w:r w:rsidR="009E5C4E" w:rsidRPr="009E5C4E">
        <w:rPr>
          <w:noProof/>
          <w:color w:val="000000"/>
          <w:kern w:val="28"/>
          <w:sz w:val="28"/>
          <w:szCs w:val="18"/>
        </w:rPr>
        <w:t xml:space="preserve"> </w:t>
      </w:r>
      <w:r w:rsidRPr="009E5C4E">
        <w:rPr>
          <w:noProof/>
          <w:color w:val="000000"/>
          <w:kern w:val="28"/>
          <w:sz w:val="28"/>
          <w:szCs w:val="18"/>
        </w:rPr>
        <w:t>11 «О некоторых вопросах, связанных со взиманием таможенных платежей, процентов» (далее</w:t>
      </w:r>
      <w:r w:rsidR="009E5C4E" w:rsidRPr="009E5C4E">
        <w:rPr>
          <w:noProof/>
          <w:color w:val="000000"/>
          <w:kern w:val="28"/>
          <w:sz w:val="28"/>
          <w:szCs w:val="18"/>
        </w:rPr>
        <w:t xml:space="preserve"> </w:t>
      </w:r>
      <w:r w:rsidRPr="009E5C4E">
        <w:rPr>
          <w:noProof/>
          <w:color w:val="000000"/>
          <w:kern w:val="28"/>
          <w:sz w:val="28"/>
          <w:szCs w:val="18"/>
        </w:rPr>
        <w:t>- Инструкция № 11), при уплате таможенных платежей в безналичном порядке либо наличными денежными средствами путем зачета излишне уплаченных (взысканных) таможенных платежей либо сумм авансовых платежей в счет причитающихся таможенных платежей или путем обращения денежных средств, поступивших на текущий (расчетный) счет таможни, в счет причитающихся таможенных платежей в качестве заявления плательщика рассматривается таможенная декларация.</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Днем уплаты таможенных платежей, в том числе путем зачета излишне уплаченных или взысканных сумм таможенных платежей или сумм авансовых платежей, считается:</w:t>
      </w:r>
    </w:p>
    <w:p w:rsidR="0096272F" w:rsidRPr="009E5C4E" w:rsidRDefault="0096272F" w:rsidP="009E5C4E">
      <w:pPr>
        <w:numPr>
          <w:ilvl w:val="0"/>
          <w:numId w:val="8"/>
        </w:numPr>
        <w:autoSpaceDE w:val="0"/>
        <w:autoSpaceDN w:val="0"/>
        <w:adjustRightInd w:val="0"/>
        <w:spacing w:line="360" w:lineRule="auto"/>
        <w:ind w:left="0" w:firstLine="709"/>
        <w:jc w:val="both"/>
        <w:rPr>
          <w:noProof/>
          <w:color w:val="000000"/>
          <w:kern w:val="28"/>
          <w:sz w:val="28"/>
        </w:rPr>
      </w:pPr>
      <w:r w:rsidRPr="009E5C4E">
        <w:rPr>
          <w:noProof/>
          <w:color w:val="000000"/>
          <w:kern w:val="28"/>
          <w:sz w:val="28"/>
          <w:szCs w:val="18"/>
        </w:rPr>
        <w:t>при наличной форме уплаты - день внесения плательщиком (иным лицом за плательщика) причитающихся сумм таможенных платежей наличными денежными средствами в кассу таможенного органа; день внесения плательщиком (иным лицом за плательщика) для перечисления причитающихся сумм таможенных платежей наличными денежными средствами в банк, небанковскую кредитно-финансовую организацию, поселковый, сельский исполнительный и распорядительный орган или организацию связи Министерства связи и информатизации Республики Беларусь;</w:t>
      </w:r>
    </w:p>
    <w:p w:rsidR="0096272F" w:rsidRPr="009E5C4E" w:rsidRDefault="0096272F" w:rsidP="009E5C4E">
      <w:pPr>
        <w:numPr>
          <w:ilvl w:val="0"/>
          <w:numId w:val="8"/>
        </w:numPr>
        <w:autoSpaceDE w:val="0"/>
        <w:autoSpaceDN w:val="0"/>
        <w:adjustRightInd w:val="0"/>
        <w:spacing w:line="360" w:lineRule="auto"/>
        <w:ind w:left="0" w:firstLine="709"/>
        <w:jc w:val="both"/>
        <w:rPr>
          <w:noProof/>
          <w:color w:val="000000"/>
          <w:kern w:val="28"/>
          <w:sz w:val="28"/>
        </w:rPr>
      </w:pPr>
      <w:r w:rsidRPr="009E5C4E">
        <w:rPr>
          <w:noProof/>
          <w:color w:val="000000"/>
          <w:kern w:val="28"/>
          <w:sz w:val="28"/>
          <w:szCs w:val="18"/>
        </w:rPr>
        <w:t>при безналичной форме уплаты - день сдачи плательщиком (иным лицом за плательщика) платежного поручения банку на перечисление причитающихся сумм таможенных платежей при наличии на счете плательщика (иного лица, уплачивающего таможенные платежи за плательщика) средств, достаточных для исполнения этого платежного поручения в полном объеме; день исполнения банком платежного поручения плательщика (иного лица, уплачивающего таможенные платежи за плательщика) на перечисление причитающихся сумм таможенных платежей, ранее не исполненного по причине отсутствия на счете плательщика (иного лица, уплачивающего таможенные платежи за плательщика) средств, достаточных для исполнения этого платежного поручения в полном объеме;</w:t>
      </w:r>
    </w:p>
    <w:p w:rsidR="0096272F" w:rsidRPr="009E5C4E" w:rsidRDefault="0096272F" w:rsidP="009E5C4E">
      <w:pPr>
        <w:numPr>
          <w:ilvl w:val="0"/>
          <w:numId w:val="8"/>
        </w:numPr>
        <w:autoSpaceDE w:val="0"/>
        <w:autoSpaceDN w:val="0"/>
        <w:adjustRightInd w:val="0"/>
        <w:spacing w:line="360" w:lineRule="auto"/>
        <w:ind w:left="0" w:firstLine="709"/>
        <w:jc w:val="both"/>
        <w:rPr>
          <w:noProof/>
          <w:color w:val="000000"/>
          <w:kern w:val="28"/>
          <w:sz w:val="28"/>
        </w:rPr>
      </w:pPr>
      <w:r w:rsidRPr="009E5C4E">
        <w:rPr>
          <w:noProof/>
          <w:color w:val="000000"/>
          <w:kern w:val="28"/>
          <w:sz w:val="28"/>
          <w:szCs w:val="18"/>
        </w:rPr>
        <w:t>при обращении сумм обеспечения в причитающиеся таможенные платежи</w:t>
      </w:r>
      <w:r w:rsidR="009E5C4E" w:rsidRPr="009E5C4E">
        <w:rPr>
          <w:noProof/>
          <w:color w:val="000000"/>
          <w:kern w:val="28"/>
          <w:sz w:val="28"/>
          <w:szCs w:val="18"/>
        </w:rPr>
        <w:t xml:space="preserve"> </w:t>
      </w:r>
      <w:r w:rsidRPr="009E5C4E">
        <w:rPr>
          <w:noProof/>
          <w:color w:val="000000"/>
          <w:kern w:val="28"/>
          <w:sz w:val="28"/>
          <w:szCs w:val="18"/>
        </w:rPr>
        <w:t>- день подачи в таможенный орган заявления плательщика в письменной форме о таком обращении (при условии, что суммы обеспечения поступили на счета таможенного органа) либо день принятия таможенным органом решения об обращении сумм обеспечения в причитающиеся таможенные платежи, если плательщик нарушил установленные ограничения, требования или условия, исполнение которых было обеспечено внесением таких сумм.</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Согласно ст. 254 ТК специальные пошлины уплачиваются по выбору плательщика как в белорусских рублях, так и в иностранной валюте, официальный курс белорусского рубля к которой установлен Национальным банком Республики Беларусь. При этом пересчет белорусских рублей в иностранную валюту для целей уплаты таможенных платежей, исчисленных в белорусских рублях, производится по официальному курсу белорусского рубля к иностранной валюте, установленному Национальным банком Республики Беларусь на день принятия таможенным органом таможенной декларации.</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Необходимо отметить, что согласно ст.</w:t>
      </w:r>
      <w:r w:rsidR="009E5C4E" w:rsidRPr="009E5C4E">
        <w:rPr>
          <w:noProof/>
          <w:color w:val="000000"/>
          <w:kern w:val="28"/>
          <w:sz w:val="28"/>
          <w:szCs w:val="18"/>
        </w:rPr>
        <w:t xml:space="preserve"> </w:t>
      </w:r>
      <w:r w:rsidRPr="009E5C4E">
        <w:rPr>
          <w:noProof/>
          <w:color w:val="000000"/>
          <w:kern w:val="28"/>
          <w:sz w:val="28"/>
          <w:szCs w:val="18"/>
        </w:rPr>
        <w:t>12 Закона № 346-З специальная пошлина взимается сверх ставки ввозной таможенной пошлины.</w:t>
      </w:r>
    </w:p>
    <w:p w:rsidR="0096272F" w:rsidRPr="009E5C4E" w:rsidRDefault="0096272F"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t>Справочно:</w:t>
      </w:r>
    </w:p>
    <w:p w:rsidR="009E5C4E"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Ставки ввозных таможенных пошлин в отношении рассматриваемых товаров определены Указом Президента Республики Беларусь от 31.12.2007 № 699 «Об установлении ставок ввозных таможенных пошлин» (далее - Указ № 699) в следующих размерах:</w:t>
      </w:r>
    </w:p>
    <w:p w:rsidR="0096272F" w:rsidRPr="009E5C4E" w:rsidRDefault="009E5C4E"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85"/>
        <w:gridCol w:w="4786"/>
      </w:tblGrid>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20"/>
              </w:rPr>
            </w:pPr>
            <w:r w:rsidRPr="00F378C6">
              <w:rPr>
                <w:noProof/>
                <w:color w:val="000000"/>
                <w:kern w:val="28"/>
                <w:sz w:val="20"/>
                <w:szCs w:val="20"/>
              </w:rPr>
              <w:t>Код ТН ВЭД</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20"/>
              </w:rPr>
            </w:pPr>
            <w:r w:rsidRPr="00F378C6">
              <w:rPr>
                <w:noProof/>
                <w:color w:val="000000"/>
                <w:kern w:val="28"/>
                <w:sz w:val="20"/>
                <w:szCs w:val="20"/>
              </w:rPr>
              <w:t>Ставка ввозной таможенной пошлины</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7019 19 100 1</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10 %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7019 19 100 9</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7019 19 900 1</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10 %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7019 19 900 9</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7019 32 000 1</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7019 32 000 9</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7019 39 000 9</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7019 40 000 0</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7019 51 000 0</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10 %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7019 52 000 0</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10 %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7019 59 000 0</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10 %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7019 90 100 0</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7019 90 910 0</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r w:rsidR="0096272F" w:rsidRPr="00F378C6" w:rsidTr="00F378C6">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7019 90 990 0</w:t>
            </w:r>
          </w:p>
        </w:tc>
        <w:tc>
          <w:tcPr>
            <w:tcW w:w="2500" w:type="pct"/>
            <w:shd w:val="clear" w:color="auto" w:fill="auto"/>
          </w:tcPr>
          <w:p w:rsidR="0096272F" w:rsidRPr="00F378C6" w:rsidRDefault="0096272F" w:rsidP="00F378C6">
            <w:pPr>
              <w:autoSpaceDE w:val="0"/>
              <w:autoSpaceDN w:val="0"/>
              <w:adjustRightInd w:val="0"/>
              <w:spacing w:line="360" w:lineRule="auto"/>
              <w:jc w:val="both"/>
              <w:rPr>
                <w:noProof/>
                <w:color w:val="000000"/>
                <w:kern w:val="28"/>
                <w:sz w:val="20"/>
                <w:szCs w:val="16"/>
              </w:rPr>
            </w:pPr>
            <w:r w:rsidRPr="00F378C6">
              <w:rPr>
                <w:noProof/>
                <w:color w:val="000000"/>
                <w:kern w:val="28"/>
                <w:sz w:val="20"/>
                <w:szCs w:val="16"/>
              </w:rPr>
              <w:t>15 %</w:t>
            </w:r>
          </w:p>
        </w:tc>
      </w:tr>
    </w:tbl>
    <w:p w:rsidR="009E5C4E" w:rsidRPr="009E5C4E" w:rsidRDefault="009E5C4E" w:rsidP="009E5C4E">
      <w:pPr>
        <w:autoSpaceDE w:val="0"/>
        <w:autoSpaceDN w:val="0"/>
        <w:adjustRightInd w:val="0"/>
        <w:spacing w:line="360" w:lineRule="auto"/>
        <w:ind w:firstLine="709"/>
        <w:jc w:val="both"/>
        <w:rPr>
          <w:noProof/>
          <w:color w:val="000000"/>
          <w:kern w:val="28"/>
          <w:sz w:val="28"/>
          <w:szCs w:val="18"/>
        </w:rPr>
      </w:pP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Вместе с тем в торговых отношениях Республики Беларусь, стран</w:t>
      </w:r>
      <w:r w:rsidR="009E5C4E" w:rsidRPr="009E5C4E">
        <w:rPr>
          <w:noProof/>
          <w:color w:val="000000"/>
          <w:kern w:val="28"/>
          <w:sz w:val="28"/>
          <w:szCs w:val="18"/>
        </w:rPr>
        <w:t xml:space="preserve"> </w:t>
      </w:r>
      <w:r w:rsidRPr="009E5C4E">
        <w:rPr>
          <w:noProof/>
          <w:color w:val="000000"/>
          <w:kern w:val="28"/>
          <w:sz w:val="28"/>
          <w:szCs w:val="18"/>
        </w:rPr>
        <w:t>-</w:t>
      </w:r>
      <w:r w:rsidR="009E5C4E" w:rsidRPr="009E5C4E">
        <w:rPr>
          <w:noProof/>
          <w:color w:val="000000"/>
          <w:kern w:val="28"/>
          <w:sz w:val="28"/>
          <w:szCs w:val="18"/>
        </w:rPr>
        <w:t xml:space="preserve"> </w:t>
      </w:r>
      <w:r w:rsidRPr="009E5C4E">
        <w:rPr>
          <w:noProof/>
          <w:color w:val="000000"/>
          <w:kern w:val="28"/>
          <w:sz w:val="28"/>
          <w:szCs w:val="18"/>
        </w:rPr>
        <w:t>членов Содружества Независимых Государств и Грузии применяется режим свободной торговли. Так, в соответствии с Соглашением о создании зоны свободной торговли, подписанным в г. Москве 15.04.1994, ратифицированным Законом Республики Беларусь от 09.11.1999 № 308-З «О ратификации Соглашения о создании зоны свободной торговли» (далее - Соглашение о создании зоны свободной торговли), и Указом № 699, товары, происходящие из стран, перечисленных в приложении</w:t>
      </w:r>
      <w:r w:rsidR="009E5C4E" w:rsidRPr="009E5C4E">
        <w:rPr>
          <w:noProof/>
          <w:color w:val="000000"/>
          <w:kern w:val="28"/>
          <w:sz w:val="28"/>
          <w:szCs w:val="18"/>
        </w:rPr>
        <w:t xml:space="preserve"> </w:t>
      </w:r>
      <w:r w:rsidRPr="009E5C4E">
        <w:rPr>
          <w:noProof/>
          <w:color w:val="000000"/>
          <w:kern w:val="28"/>
          <w:sz w:val="28"/>
          <w:szCs w:val="18"/>
        </w:rPr>
        <w:t>2 к Указу № 699, в торгово-экономических отношениях с которыми Республика Беларусь применяет режим свободной торговли, и ввозимые на таможенную территорию Республики Беларусь из этих стран, ввозными таможенными пошлинами не облагаются. Однако, руководствуясь ст.</w:t>
      </w:r>
      <w:r w:rsidR="009E5C4E" w:rsidRPr="009E5C4E">
        <w:rPr>
          <w:noProof/>
          <w:color w:val="000000"/>
          <w:kern w:val="28"/>
          <w:sz w:val="28"/>
          <w:szCs w:val="18"/>
        </w:rPr>
        <w:t xml:space="preserve"> </w:t>
      </w:r>
      <w:r w:rsidRPr="009E5C4E">
        <w:rPr>
          <w:noProof/>
          <w:color w:val="000000"/>
          <w:kern w:val="28"/>
          <w:sz w:val="28"/>
          <w:szCs w:val="18"/>
        </w:rPr>
        <w:t>13а Соглашения о создании зоны свободной торговли, применение режима свободной торговли (освобождение от ввозной таможенной пошлины) не исключает необходимость уплаты специальной пошлины в отношении рассматриваемых товаров.</w:t>
      </w:r>
    </w:p>
    <w:p w:rsidR="0096272F" w:rsidRPr="009E5C4E" w:rsidRDefault="009E5C4E" w:rsidP="009E5C4E">
      <w:pPr>
        <w:autoSpaceDE w:val="0"/>
        <w:autoSpaceDN w:val="0"/>
        <w:adjustRightInd w:val="0"/>
        <w:spacing w:line="360" w:lineRule="auto"/>
        <w:ind w:firstLine="709"/>
        <w:jc w:val="both"/>
        <w:rPr>
          <w:bCs/>
          <w:iCs/>
          <w:noProof/>
          <w:color w:val="000000"/>
          <w:kern w:val="28"/>
          <w:sz w:val="28"/>
          <w:szCs w:val="18"/>
        </w:rPr>
      </w:pPr>
      <w:r w:rsidRPr="009E5C4E">
        <w:rPr>
          <w:bCs/>
          <w:iCs/>
          <w:noProof/>
          <w:color w:val="000000"/>
          <w:kern w:val="28"/>
          <w:sz w:val="28"/>
          <w:szCs w:val="18"/>
        </w:rPr>
        <w:br w:type="page"/>
      </w:r>
      <w:r w:rsidR="0096272F" w:rsidRPr="009E5C4E">
        <w:rPr>
          <w:bCs/>
          <w:iCs/>
          <w:noProof/>
          <w:color w:val="000000"/>
          <w:kern w:val="28"/>
          <w:sz w:val="28"/>
          <w:szCs w:val="18"/>
        </w:rPr>
        <w:t>Справочно:</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Условия применения режима свободной торговли установлены п. 9 Правил определения страны происхождения товаров, утвержденных Решением Совета глав правительств Содружества Независимых Государств от 30.11.2000, ратифицированным Законом Республики Беларусь от 17.07.2002 № 125-З «О ратификации Решения Совета глав правительств Содружества Независимых Государств о Правилах определения страны происхождения товаров» от 30.11.2000 (далее - Правила), и предусматривают одновременное выполнение следующих требований:</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товар экспортируется на основании договора между резидентом одного из государств - участников и резидентом другого государства - участника Соглашения о создании зоны свободной торговли.</w:t>
      </w:r>
    </w:p>
    <w:p w:rsidR="0096272F" w:rsidRPr="009E5C4E" w:rsidRDefault="0096272F" w:rsidP="009E5C4E">
      <w:pPr>
        <w:autoSpaceDE w:val="0"/>
        <w:autoSpaceDN w:val="0"/>
        <w:adjustRightInd w:val="0"/>
        <w:spacing w:line="360" w:lineRule="auto"/>
        <w:ind w:firstLine="709"/>
        <w:jc w:val="both"/>
        <w:rPr>
          <w:iCs/>
          <w:noProof/>
          <w:color w:val="000000"/>
          <w:kern w:val="28"/>
          <w:sz w:val="28"/>
          <w:szCs w:val="18"/>
        </w:rPr>
      </w:pPr>
      <w:r w:rsidRPr="009E5C4E">
        <w:rPr>
          <w:iCs/>
          <w:noProof/>
          <w:color w:val="000000"/>
          <w:kern w:val="28"/>
          <w:sz w:val="28"/>
          <w:szCs w:val="18"/>
        </w:rPr>
        <w:t>товар ввозится с таможенной территории одного государства-участника на таможенную территорию другого государства - участника Соглашения о создании зоны свободной торговли. При этом товар не должен покидать территории государств - участников Соглашения о создании зоны свободной торговли, кроме случаев, когда такая транспортировка невозможна в силу географического положения государства-участника или отдельной его территории, а также случаев, согласованных компетентными органами государств - участников Соглашения о создании зоны свободной торговли, экспортирующих и импортирующих товары.</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noProof/>
          <w:color w:val="000000"/>
          <w:kern w:val="28"/>
          <w:sz w:val="28"/>
          <w:szCs w:val="18"/>
        </w:rPr>
        <w:t>Согласно ст. 7 Закона № 2151-XII специальные пошлины рассматриваются как особый вид таможенных пошлин. В соответствии ст. 9 Закона Республики Беларусь «О</w:t>
      </w:r>
      <w:r w:rsidR="009E5C4E" w:rsidRPr="009E5C4E">
        <w:rPr>
          <w:noProof/>
          <w:color w:val="000000"/>
          <w:kern w:val="28"/>
          <w:sz w:val="28"/>
          <w:szCs w:val="18"/>
        </w:rPr>
        <w:t xml:space="preserve"> </w:t>
      </w:r>
      <w:r w:rsidRPr="009E5C4E">
        <w:rPr>
          <w:noProof/>
          <w:color w:val="000000"/>
          <w:kern w:val="28"/>
          <w:sz w:val="28"/>
          <w:szCs w:val="18"/>
        </w:rPr>
        <w:t>налоге на добавленную стоимость» налоговая база по товарам, ввозимым на таможенную территорию Республики Беларусь, взимание налога по которым осуществляется таможенными органами, определяется как сумма их таможенной стоимости, а также подлежащих уплате таможенной пошлины и акцизов (для подакцизных товаров). Учитывая вышеизложенное, п. 6 Инструкции № 11 установлено, что подлежащие уплате суммы специальных пошлин включаются в базу для исчисления налога на добавленную стоимость.</w:t>
      </w:r>
    </w:p>
    <w:p w:rsidR="0096272F" w:rsidRPr="009E5C4E" w:rsidRDefault="0096272F" w:rsidP="009E5C4E">
      <w:pPr>
        <w:autoSpaceDE w:val="0"/>
        <w:autoSpaceDN w:val="0"/>
        <w:adjustRightInd w:val="0"/>
        <w:spacing w:line="360" w:lineRule="auto"/>
        <w:ind w:firstLine="709"/>
        <w:jc w:val="both"/>
        <w:rPr>
          <w:noProof/>
          <w:color w:val="000000"/>
          <w:kern w:val="28"/>
          <w:sz w:val="28"/>
          <w:szCs w:val="18"/>
        </w:rPr>
      </w:pPr>
      <w:r w:rsidRPr="009E5C4E">
        <w:rPr>
          <w:bCs/>
          <w:iCs/>
          <w:noProof/>
          <w:color w:val="000000"/>
          <w:kern w:val="28"/>
          <w:sz w:val="28"/>
          <w:szCs w:val="18"/>
        </w:rPr>
        <w:t>P.S.</w:t>
      </w:r>
      <w:r w:rsidRPr="009E5C4E">
        <w:rPr>
          <w:noProof/>
          <w:color w:val="000000"/>
          <w:kern w:val="28"/>
          <w:sz w:val="28"/>
          <w:szCs w:val="18"/>
        </w:rPr>
        <w:t xml:space="preserve"> Антидемпинговые пошлины на украинскую карамель остались. Единственное изменение - данные пошлины установили не взимать при поставке карамели тремя отдельными украинскими экспортерами при соблюдении ценовых обязательств, наличия СТ-1. При несоблюдении этих обязательств такие пошлины уплачиваются.</w:t>
      </w:r>
    </w:p>
    <w:p w:rsidR="000D4B7F" w:rsidRPr="009E5C4E" w:rsidRDefault="000D4B7F" w:rsidP="009E5C4E">
      <w:pPr>
        <w:autoSpaceDE w:val="0"/>
        <w:autoSpaceDN w:val="0"/>
        <w:adjustRightInd w:val="0"/>
        <w:spacing w:line="360" w:lineRule="auto"/>
        <w:ind w:firstLine="709"/>
        <w:jc w:val="both"/>
        <w:rPr>
          <w:noProof/>
          <w:color w:val="000000"/>
          <w:kern w:val="28"/>
          <w:sz w:val="28"/>
          <w:szCs w:val="18"/>
        </w:rPr>
      </w:pPr>
    </w:p>
    <w:p w:rsidR="000D4B7F" w:rsidRPr="009E5C4E" w:rsidRDefault="000D4B7F" w:rsidP="009E5C4E">
      <w:pPr>
        <w:autoSpaceDE w:val="0"/>
        <w:autoSpaceDN w:val="0"/>
        <w:adjustRightInd w:val="0"/>
        <w:spacing w:line="360" w:lineRule="auto"/>
        <w:ind w:firstLine="709"/>
        <w:jc w:val="both"/>
        <w:rPr>
          <w:b/>
          <w:noProof/>
          <w:color w:val="000000"/>
          <w:kern w:val="28"/>
          <w:sz w:val="28"/>
          <w:szCs w:val="28"/>
        </w:rPr>
      </w:pPr>
      <w:r w:rsidRPr="009E5C4E">
        <w:rPr>
          <w:noProof/>
          <w:color w:val="000000"/>
          <w:kern w:val="28"/>
          <w:sz w:val="28"/>
          <w:szCs w:val="18"/>
        </w:rPr>
        <w:br w:type="page"/>
      </w:r>
      <w:r w:rsidR="009E5C4E" w:rsidRPr="009E5C4E">
        <w:rPr>
          <w:b/>
          <w:noProof/>
          <w:color w:val="000000"/>
          <w:kern w:val="28"/>
          <w:sz w:val="28"/>
          <w:szCs w:val="28"/>
        </w:rPr>
        <w:t>Список использованных источников</w:t>
      </w:r>
    </w:p>
    <w:p w:rsidR="000D4B7F" w:rsidRPr="009E5C4E" w:rsidRDefault="000D4B7F" w:rsidP="009E5C4E">
      <w:pPr>
        <w:spacing w:line="360" w:lineRule="auto"/>
        <w:ind w:firstLine="709"/>
        <w:jc w:val="both"/>
        <w:rPr>
          <w:noProof/>
          <w:color w:val="000000"/>
          <w:kern w:val="28"/>
          <w:sz w:val="28"/>
          <w:szCs w:val="28"/>
        </w:rPr>
      </w:pPr>
    </w:p>
    <w:p w:rsidR="000D4B7F" w:rsidRPr="009E5C4E" w:rsidRDefault="000D4B7F" w:rsidP="009E5C4E">
      <w:pPr>
        <w:pStyle w:val="HTML"/>
        <w:numPr>
          <w:ilvl w:val="0"/>
          <w:numId w:val="9"/>
        </w:numPr>
        <w:spacing w:line="360" w:lineRule="auto"/>
        <w:ind w:left="0" w:firstLine="0"/>
        <w:jc w:val="both"/>
        <w:rPr>
          <w:rFonts w:ascii="Times New Roman" w:hAnsi="Times New Roman" w:cs="Times New Roman"/>
          <w:bCs/>
          <w:noProof/>
          <w:color w:val="000000"/>
          <w:kern w:val="28"/>
          <w:sz w:val="28"/>
          <w:szCs w:val="28"/>
        </w:rPr>
      </w:pPr>
      <w:r w:rsidRPr="009E5C4E">
        <w:rPr>
          <w:rFonts w:ascii="Times New Roman" w:hAnsi="Times New Roman" w:cs="Times New Roman"/>
          <w:noProof/>
          <w:color w:val="000000"/>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0D4B7F" w:rsidRPr="009E5C4E" w:rsidRDefault="000D4B7F" w:rsidP="009E5C4E">
      <w:pPr>
        <w:pStyle w:val="HTML"/>
        <w:numPr>
          <w:ilvl w:val="0"/>
          <w:numId w:val="9"/>
        </w:numPr>
        <w:spacing w:line="360" w:lineRule="auto"/>
        <w:ind w:left="0" w:firstLine="0"/>
        <w:jc w:val="both"/>
        <w:rPr>
          <w:rFonts w:ascii="Times New Roman" w:hAnsi="Times New Roman" w:cs="Times New Roman"/>
          <w:noProof/>
          <w:color w:val="000000"/>
          <w:kern w:val="28"/>
          <w:sz w:val="28"/>
          <w:szCs w:val="28"/>
        </w:rPr>
      </w:pPr>
      <w:r w:rsidRPr="009E5C4E">
        <w:rPr>
          <w:rFonts w:ascii="Times New Roman" w:hAnsi="Times New Roman" w:cs="Times New Roman"/>
          <w:noProof/>
          <w:color w:val="000000"/>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 Юридическая база «ЮСИАС» 2008г.</w:t>
      </w:r>
    </w:p>
    <w:p w:rsidR="000D4B7F" w:rsidRPr="009E5C4E" w:rsidRDefault="000D4B7F" w:rsidP="009E5C4E">
      <w:pPr>
        <w:pStyle w:val="HTML"/>
        <w:numPr>
          <w:ilvl w:val="0"/>
          <w:numId w:val="9"/>
        </w:numPr>
        <w:spacing w:line="360" w:lineRule="auto"/>
        <w:ind w:left="0" w:firstLine="0"/>
        <w:jc w:val="both"/>
        <w:rPr>
          <w:rFonts w:ascii="Times New Roman" w:hAnsi="Times New Roman" w:cs="Times New Roman"/>
          <w:noProof/>
          <w:color w:val="000000"/>
          <w:kern w:val="28"/>
          <w:sz w:val="28"/>
          <w:szCs w:val="28"/>
        </w:rPr>
      </w:pPr>
      <w:r w:rsidRPr="009E5C4E">
        <w:rPr>
          <w:rFonts w:ascii="Times New Roman" w:hAnsi="Times New Roman" w:cs="Times New Roman"/>
          <w:noProof/>
          <w:color w:val="000000"/>
          <w:kern w:val="28"/>
          <w:sz w:val="28"/>
          <w:szCs w:val="28"/>
        </w:rPr>
        <w:t>Козырин А.Н. Таможенное право России: Учеб. Пособие. М.: СПАРК, 2004г.</w:t>
      </w:r>
    </w:p>
    <w:p w:rsidR="000D4B7F" w:rsidRPr="009E5C4E" w:rsidRDefault="000D4B7F" w:rsidP="009E5C4E">
      <w:pPr>
        <w:pStyle w:val="HTML"/>
        <w:numPr>
          <w:ilvl w:val="0"/>
          <w:numId w:val="9"/>
        </w:numPr>
        <w:spacing w:line="360" w:lineRule="auto"/>
        <w:ind w:left="0" w:firstLine="0"/>
        <w:jc w:val="both"/>
        <w:rPr>
          <w:rFonts w:ascii="Times New Roman" w:hAnsi="Times New Roman" w:cs="Times New Roman"/>
          <w:noProof/>
          <w:color w:val="000000"/>
          <w:kern w:val="28"/>
          <w:sz w:val="28"/>
          <w:szCs w:val="28"/>
        </w:rPr>
      </w:pPr>
      <w:r w:rsidRPr="009E5C4E">
        <w:rPr>
          <w:rFonts w:ascii="Times New Roman" w:hAnsi="Times New Roman" w:cs="Times New Roman"/>
          <w:noProof/>
          <w:color w:val="000000"/>
          <w:kern w:val="28"/>
          <w:sz w:val="28"/>
          <w:szCs w:val="28"/>
        </w:rPr>
        <w:t>Основы таможенного дела: Учеб. Пособие в 7 вып. Вып. 1: Развитие таможенного дела в России / Науч. Ред. П.В. Дзюбенко. М., РИО РТА, 2001.</w:t>
      </w:r>
    </w:p>
    <w:p w:rsidR="000D4B7F" w:rsidRPr="009E5C4E" w:rsidRDefault="000D4B7F" w:rsidP="009E5C4E">
      <w:pPr>
        <w:pStyle w:val="HTML"/>
        <w:numPr>
          <w:ilvl w:val="0"/>
          <w:numId w:val="9"/>
        </w:numPr>
        <w:spacing w:line="360" w:lineRule="auto"/>
        <w:ind w:left="0" w:firstLine="0"/>
        <w:jc w:val="both"/>
        <w:rPr>
          <w:rFonts w:ascii="Times New Roman" w:hAnsi="Times New Roman" w:cs="Times New Roman"/>
          <w:noProof/>
          <w:color w:val="000000"/>
          <w:kern w:val="28"/>
          <w:sz w:val="28"/>
          <w:szCs w:val="28"/>
        </w:rPr>
      </w:pPr>
      <w:r w:rsidRPr="009E5C4E">
        <w:rPr>
          <w:rFonts w:ascii="Times New Roman" w:hAnsi="Times New Roman" w:cs="Times New Roman"/>
          <w:noProof/>
          <w:color w:val="000000"/>
          <w:kern w:val="28"/>
          <w:sz w:val="28"/>
          <w:szCs w:val="28"/>
        </w:rPr>
        <w:t xml:space="preserve"> Основы таможенного дела: Учеб. Пособие в 7 вып. Вып 4: Правовое регулирование таможенного дела / Ю.В. Воробьев, Под общ. ред. В.А. Максимцева. М., РИО РТА, 2002.</w:t>
      </w:r>
    </w:p>
    <w:p w:rsidR="000D4B7F" w:rsidRPr="009E5C4E" w:rsidRDefault="000D4B7F" w:rsidP="009E5C4E">
      <w:pPr>
        <w:pStyle w:val="HTML"/>
        <w:numPr>
          <w:ilvl w:val="0"/>
          <w:numId w:val="9"/>
        </w:numPr>
        <w:spacing w:line="360" w:lineRule="auto"/>
        <w:ind w:left="0" w:firstLine="0"/>
        <w:jc w:val="both"/>
        <w:rPr>
          <w:rFonts w:ascii="Times New Roman" w:hAnsi="Times New Roman" w:cs="Times New Roman"/>
          <w:noProof/>
          <w:color w:val="000000"/>
          <w:kern w:val="28"/>
          <w:sz w:val="28"/>
          <w:szCs w:val="28"/>
        </w:rPr>
      </w:pPr>
      <w:r w:rsidRPr="009E5C4E">
        <w:rPr>
          <w:rFonts w:ascii="Times New Roman" w:hAnsi="Times New Roman" w:cs="Times New Roman"/>
          <w:noProof/>
          <w:color w:val="000000"/>
          <w:kern w:val="28"/>
          <w:sz w:val="28"/>
          <w:szCs w:val="28"/>
        </w:rPr>
        <w:t>Таможенное право Республики Беларусь. Черевченко Н.В.; 2007г., 300с.</w:t>
      </w:r>
      <w:bookmarkStart w:id="0" w:name="_GoBack"/>
      <w:bookmarkEnd w:id="0"/>
    </w:p>
    <w:sectPr w:rsidR="000D4B7F" w:rsidRPr="009E5C4E" w:rsidSect="009E5C4E">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8C6" w:rsidRDefault="00F378C6">
      <w:r>
        <w:separator/>
      </w:r>
    </w:p>
  </w:endnote>
  <w:endnote w:type="continuationSeparator" w:id="0">
    <w:p w:rsidR="00F378C6" w:rsidRDefault="00F3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8C6" w:rsidRDefault="00F378C6">
      <w:r>
        <w:separator/>
      </w:r>
    </w:p>
  </w:footnote>
  <w:footnote w:type="continuationSeparator" w:id="0">
    <w:p w:rsidR="00F378C6" w:rsidRDefault="00F37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7F" w:rsidRDefault="000D4B7F" w:rsidP="00B439C0">
    <w:pPr>
      <w:pStyle w:val="a4"/>
      <w:framePr w:wrap="around" w:vAnchor="text" w:hAnchor="margin" w:xAlign="right" w:y="1"/>
      <w:rPr>
        <w:rStyle w:val="a6"/>
      </w:rPr>
    </w:pPr>
  </w:p>
  <w:p w:rsidR="000D4B7F" w:rsidRDefault="000D4B7F" w:rsidP="000D4B7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B7F" w:rsidRDefault="006729B2" w:rsidP="00B439C0">
    <w:pPr>
      <w:pStyle w:val="a4"/>
      <w:framePr w:wrap="around" w:vAnchor="text" w:hAnchor="margin" w:xAlign="right" w:y="1"/>
      <w:rPr>
        <w:rStyle w:val="a6"/>
      </w:rPr>
    </w:pPr>
    <w:r>
      <w:rPr>
        <w:rStyle w:val="a6"/>
        <w:noProof/>
      </w:rPr>
      <w:t>2</w:t>
    </w:r>
  </w:p>
  <w:p w:rsidR="000D4B7F" w:rsidRDefault="000D4B7F" w:rsidP="000D4B7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655C0"/>
    <w:multiLevelType w:val="multilevel"/>
    <w:tmpl w:val="39007F26"/>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2">
    <w:nsid w:val="14D87698"/>
    <w:multiLevelType w:val="multilevel"/>
    <w:tmpl w:val="1CBA8C1E"/>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3">
    <w:nsid w:val="173A174D"/>
    <w:multiLevelType w:val="multilevel"/>
    <w:tmpl w:val="1B3A050F"/>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4">
    <w:nsid w:val="1CBF9050"/>
    <w:multiLevelType w:val="multilevel"/>
    <w:tmpl w:val="0172E476"/>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5">
    <w:nsid w:val="398A7255"/>
    <w:multiLevelType w:val="multilevel"/>
    <w:tmpl w:val="44205610"/>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6">
    <w:nsid w:val="43F1D74B"/>
    <w:multiLevelType w:val="multilevel"/>
    <w:tmpl w:val="7A6747DB"/>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7">
    <w:nsid w:val="71C2FE58"/>
    <w:multiLevelType w:val="multilevel"/>
    <w:tmpl w:val="11DF40DE"/>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8">
    <w:nsid w:val="76BE9C2C"/>
    <w:multiLevelType w:val="multilevel"/>
    <w:tmpl w:val="04039808"/>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2"/>
  </w:num>
  <w:num w:numId="2">
    <w:abstractNumId w:val="8"/>
  </w:num>
  <w:num w:numId="3">
    <w:abstractNumId w:val="6"/>
  </w:num>
  <w:num w:numId="4">
    <w:abstractNumId w:val="4"/>
  </w:num>
  <w:num w:numId="5">
    <w:abstractNumId w:val="0"/>
  </w:num>
  <w:num w:numId="6">
    <w:abstractNumId w:val="3"/>
  </w:num>
  <w:num w:numId="7">
    <w:abstractNumId w:val="7"/>
  </w:num>
  <w:num w:numId="8">
    <w:abstractNumId w:val="5"/>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A27"/>
    <w:rsid w:val="000C0C80"/>
    <w:rsid w:val="000D4B7F"/>
    <w:rsid w:val="001B3888"/>
    <w:rsid w:val="004E07E1"/>
    <w:rsid w:val="00576537"/>
    <w:rsid w:val="006729B2"/>
    <w:rsid w:val="007E3E1C"/>
    <w:rsid w:val="00835410"/>
    <w:rsid w:val="0096272F"/>
    <w:rsid w:val="009C0C8D"/>
    <w:rsid w:val="009E5C4E"/>
    <w:rsid w:val="00AD3425"/>
    <w:rsid w:val="00B439C0"/>
    <w:rsid w:val="00C53AFA"/>
    <w:rsid w:val="00E75A27"/>
    <w:rsid w:val="00F378C6"/>
    <w:rsid w:val="00F43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BB141A2-9699-4BF3-8092-571013ED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HTML">
    <w:name w:val="HTML Preformatted"/>
    <w:basedOn w:val="a"/>
    <w:link w:val="HTML0"/>
    <w:uiPriority w:val="99"/>
    <w:rsid w:val="000D4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4">
    <w:name w:val="header"/>
    <w:basedOn w:val="a"/>
    <w:link w:val="a5"/>
    <w:uiPriority w:val="99"/>
    <w:rsid w:val="000D4B7F"/>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0D4B7F"/>
    <w:rPr>
      <w:rFonts w:cs="Times New Roman"/>
    </w:rPr>
  </w:style>
  <w:style w:type="paragraph" w:styleId="a7">
    <w:name w:val="footer"/>
    <w:basedOn w:val="a"/>
    <w:link w:val="a8"/>
    <w:uiPriority w:val="99"/>
    <w:rsid w:val="009E5C4E"/>
    <w:pPr>
      <w:tabs>
        <w:tab w:val="center" w:pos="4677"/>
        <w:tab w:val="right" w:pos="9355"/>
      </w:tabs>
    </w:pPr>
  </w:style>
  <w:style w:type="character" w:customStyle="1" w:styleId="a8">
    <w:name w:val="Нижній колонтитул Знак"/>
    <w:link w:val="a7"/>
    <w:uiPriority w:val="99"/>
    <w:semiHidden/>
    <w:rPr>
      <w:sz w:val="24"/>
      <w:szCs w:val="24"/>
    </w:rPr>
  </w:style>
  <w:style w:type="table" w:styleId="a9">
    <w:name w:val="Table Professional"/>
    <w:basedOn w:val="a1"/>
    <w:uiPriority w:val="99"/>
    <w:rsid w:val="009E5C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2861</Words>
  <Characters>16312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ПРИМИРИТЕЛЬНАЯ КОМИССИЯ</vt:lpstr>
    </vt:vector>
  </TitlesOfParts>
  <Company>Microsoft</Company>
  <LinksUpToDate>false</LinksUpToDate>
  <CharactersWithSpaces>19135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ПРИМИРИТЕЛЬНАЯ КОМИССИЯ</dc:title>
  <dc:subject/>
  <dc:creator>Admin</dc:creator>
  <cp:keywords/>
  <dc:description/>
  <cp:lastModifiedBy>Irina</cp:lastModifiedBy>
  <cp:revision>2</cp:revision>
  <dcterms:created xsi:type="dcterms:W3CDTF">2014-09-08T06:23:00Z</dcterms:created>
  <dcterms:modified xsi:type="dcterms:W3CDTF">2014-09-08T06:23:00Z</dcterms:modified>
</cp:coreProperties>
</file>