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8E" w:rsidRDefault="006B238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Международное воздушное право.</w:t>
      </w:r>
    </w:p>
    <w:p w:rsidR="006B238E" w:rsidRDefault="006B23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Регулирование международных авиаполетов.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Основанием допуска иностранных воздушных судов в воздушное пространство определенного государства является международный договор либо специальное разрешение</w:t>
      </w:r>
      <w:r>
        <w:rPr>
          <w:rStyle w:val="a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Заключение международного договора или выдача специального разрешения, предоставляющего право пролета в пределах воздушного пространства государства, требует выполнения определенных условий, содержащихся как в международных договорах, так и в национальных законах. К таким условиям, независимо от категории полета, относятся особый порядок пересечения государственных воздушных границ (пересечение границы в специально выделенных воздушных коридорах под контролем органов управления воздушного движения и на высотах, специально определенных для таких полетов); правила посадки в определенном аэропорту с прохождением таможенного и иного контроля; выполнение в аэропортах административных предписаний; осуществление досмотра воздушных судов; обязательное наличие на борту воздушного судна необходимой документации и опознавательных знаков и т.д. Государства исходят из того, что их полный и исключительный суверенитет над своим воздушным пространством не препятствует сотрудничеству для решения согласованных задач.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государственного воздушного пространства, международные авиаполеты осуществляются в международном воздушном пространстве, т.е. над исключительной экономической зоной, открытым морем, международными проливами и архипелажными водами, а также над Антарктикой. Там действует принцип свободы международного воздушного пространства, связанный с принципом свободы открытого моря, однако данная свобода реализуется с учетом основных принципов и норм международного права.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 сохраняет свою юрисдикцию над зарегистрированным им воздушным судном, осуществляющим полет в международном воздушном пространстве. Власть другого государства на данное воздушное судно не распространяется, что означает также недопустимость вмешательства в полет этого судна.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Государства обязаны не допускать создания со стороны их воздушных судов угрозы безопасности полетов воздушных судов других государств, с этой целью государства заключают соответствующие международные договоры о предотвращении инцидентов. В связи с этим каждое воздушное судно, занятое в международной аэронавигации, должно иметь соответствующие регистрационные знаки, позволяющие определить национальность этого судна, то есть каким государством данное воздушное судно зарегистрировано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 xml:space="preserve">. </w:t>
      </w:r>
    </w:p>
    <w:p w:rsidR="006B238E" w:rsidRDefault="006B23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Правовой режим воздушного пространства.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уже отмечалось, воздушное пространство делится на воздушное пространство отдельных государств и международное воздушное пространство. Их правовой режим существенно различается.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территориальное воздушное пространство распространяется национальный суверенитет, его использование допускается в соответствии с международными договорами и особыми соглашениями (см. выше).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международном воздушном пространстве действу свобода аэронавигации (полетов воздушных судов), а также свобода научных исследований посредством воздушных судов, свобода использования летательных аппаратов для обеспечения рыболовства и возведения установок и сооружений.</w:t>
      </w:r>
    </w:p>
    <w:p w:rsidR="006B238E" w:rsidRDefault="006B23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6B238E" w:rsidRDefault="006B2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B238E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8E" w:rsidRDefault="006B238E">
      <w:r>
        <w:separator/>
      </w:r>
    </w:p>
  </w:endnote>
  <w:endnote w:type="continuationSeparator" w:id="0">
    <w:p w:rsidR="006B238E" w:rsidRDefault="006B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8E" w:rsidRDefault="006B238E">
      <w:r>
        <w:separator/>
      </w:r>
    </w:p>
  </w:footnote>
  <w:footnote w:type="continuationSeparator" w:id="0">
    <w:p w:rsidR="006B238E" w:rsidRDefault="006B238E">
      <w:r>
        <w:continuationSeparator/>
      </w:r>
    </w:p>
  </w:footnote>
  <w:footnote w:id="1">
    <w:p w:rsidR="006B238E" w:rsidRDefault="006B238E">
      <w:pPr>
        <w:pStyle w:val="a5"/>
      </w:pPr>
      <w:r>
        <w:rPr>
          <w:rStyle w:val="a3"/>
        </w:rPr>
        <w:footnoteRef/>
      </w:r>
      <w:r>
        <w:t xml:space="preserve"> См.: ст.ст.5-6 Конвенции о международной гражданской авиации; Договор по открытому небу.</w:t>
      </w:r>
    </w:p>
  </w:footnote>
  <w:footnote w:id="2">
    <w:p w:rsidR="006B238E" w:rsidRDefault="006B238E">
      <w:pPr>
        <w:pStyle w:val="a5"/>
      </w:pPr>
      <w:r>
        <w:rPr>
          <w:rStyle w:val="a3"/>
        </w:rPr>
        <w:footnoteRef/>
      </w:r>
      <w:r>
        <w:t xml:space="preserve"> См.: ст.20 Конвенции о международной гражданской авиации.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D6A2B96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34D2CB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3D765388"/>
    <w:lvl w:ilvl="0" w:tplc="0AFE3578">
      <w:numFmt w:val="none"/>
      <w:lvlText w:val=""/>
      <w:lvlJc w:val="left"/>
      <w:pPr>
        <w:tabs>
          <w:tab w:val="num" w:pos="360"/>
        </w:tabs>
      </w:pPr>
    </w:lvl>
    <w:lvl w:ilvl="1" w:tplc="B68A55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38CC0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C2C13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3A8C0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2CB37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8C227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D8A8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2E52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14C2C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BC64E5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BC5E0A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3A66CAC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1E3C4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C80"/>
    <w:rsid w:val="00601B54"/>
    <w:rsid w:val="006B238E"/>
    <w:rsid w:val="00771C80"/>
    <w:rsid w:val="0095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840DD6-1AB5-4AB3-9A81-25441C86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Международное воздушное право</vt:lpstr>
    </vt:vector>
  </TitlesOfParts>
  <Company>PERSONAL COMPUTERS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воздушное право</dc:title>
  <dc:subject/>
  <dc:creator>USER</dc:creator>
  <cp:keywords/>
  <dc:description/>
  <cp:lastModifiedBy>admin</cp:lastModifiedBy>
  <cp:revision>2</cp:revision>
  <dcterms:created xsi:type="dcterms:W3CDTF">2014-01-26T07:24:00Z</dcterms:created>
  <dcterms:modified xsi:type="dcterms:W3CDTF">2014-01-26T07:24:00Z</dcterms:modified>
</cp:coreProperties>
</file>