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72" w:rsidRPr="005B0772" w:rsidRDefault="005B0772">
      <w:pPr>
        <w:pStyle w:val="a3"/>
        <w:ind w:firstLine="0"/>
        <w:rPr>
          <w:sz w:val="24"/>
          <w:szCs w:val="24"/>
        </w:rPr>
      </w:pPr>
      <w:bookmarkStart w:id="0" w:name="_Toc449787023"/>
      <w:r w:rsidRPr="005B0772">
        <w:rPr>
          <w:sz w:val="24"/>
          <w:szCs w:val="24"/>
        </w:rPr>
        <w:t>содержание</w:t>
      </w:r>
    </w:p>
    <w:p w:rsidR="005B0772" w:rsidRPr="005B0772" w:rsidRDefault="005B0772">
      <w:pPr>
        <w:pStyle w:val="a3"/>
        <w:ind w:firstLine="0"/>
        <w:rPr>
          <w:sz w:val="24"/>
          <w:szCs w:val="24"/>
        </w:rPr>
      </w:pPr>
    </w:p>
    <w:p w:rsidR="005B0772" w:rsidRPr="005B0772" w:rsidRDefault="005B0772">
      <w:pPr>
        <w:pStyle w:val="a3"/>
        <w:ind w:firstLine="0"/>
        <w:rPr>
          <w:sz w:val="24"/>
          <w:szCs w:val="24"/>
        </w:rPr>
      </w:pPr>
    </w:p>
    <w:p w:rsidR="005B0772" w:rsidRPr="005B0772" w:rsidRDefault="005B0772">
      <w:pPr>
        <w:pStyle w:val="11"/>
        <w:tabs>
          <w:tab w:val="right" w:leader="dot" w:pos="9061"/>
        </w:tabs>
        <w:ind w:hanging="284"/>
        <w:rPr>
          <w:caps/>
          <w:noProof/>
          <w:sz w:val="24"/>
          <w:szCs w:val="24"/>
        </w:rPr>
      </w:pPr>
      <w:r w:rsidRPr="005B0772">
        <w:rPr>
          <w:caps/>
          <w:noProof/>
          <w:sz w:val="24"/>
          <w:szCs w:val="24"/>
        </w:rPr>
        <w:t>География транспорта и смежные науки</w:t>
      </w:r>
    </w:p>
    <w:p w:rsidR="005B0772" w:rsidRPr="005B0772" w:rsidRDefault="005B0772">
      <w:pPr>
        <w:pStyle w:val="11"/>
        <w:tabs>
          <w:tab w:val="right" w:leader="dot" w:pos="9061"/>
        </w:tabs>
        <w:ind w:hanging="284"/>
        <w:rPr>
          <w:caps/>
          <w:noProof/>
          <w:sz w:val="24"/>
          <w:szCs w:val="24"/>
        </w:rPr>
      </w:pPr>
      <w:r w:rsidRPr="005B0772">
        <w:rPr>
          <w:caps/>
          <w:noProof/>
          <w:sz w:val="24"/>
          <w:szCs w:val="24"/>
        </w:rPr>
        <w:t>Перевозки пассажиров в России в 1940-90 гг.</w:t>
      </w:r>
    </w:p>
    <w:p w:rsidR="005B0772" w:rsidRPr="005B0772" w:rsidRDefault="005B0772">
      <w:pPr>
        <w:pStyle w:val="11"/>
        <w:tabs>
          <w:tab w:val="right" w:leader="dot" w:pos="9061"/>
        </w:tabs>
        <w:ind w:hanging="284"/>
        <w:rPr>
          <w:caps/>
          <w:noProof/>
          <w:sz w:val="24"/>
          <w:szCs w:val="24"/>
        </w:rPr>
      </w:pPr>
      <w:r w:rsidRPr="005B0772">
        <w:rPr>
          <w:caps/>
          <w:noProof/>
          <w:sz w:val="24"/>
          <w:szCs w:val="24"/>
        </w:rPr>
        <w:t>Характеристика Балтийского морского бассейна</w:t>
      </w:r>
    </w:p>
    <w:p w:rsidR="005B0772" w:rsidRPr="005B0772" w:rsidRDefault="005B0772" w:rsidP="005B0772">
      <w:pPr>
        <w:pStyle w:val="11"/>
        <w:tabs>
          <w:tab w:val="right" w:leader="dot" w:pos="9061"/>
        </w:tabs>
        <w:ind w:hanging="284"/>
        <w:rPr>
          <w:sz w:val="24"/>
          <w:szCs w:val="24"/>
        </w:rPr>
      </w:pPr>
      <w:r w:rsidRPr="005B0772">
        <w:rPr>
          <w:noProof/>
          <w:sz w:val="24"/>
          <w:szCs w:val="24"/>
        </w:rPr>
        <w:t>Литература</w:t>
      </w:r>
      <w:bookmarkStart w:id="1" w:name="_Toc449787021"/>
    </w:p>
    <w:p w:rsidR="005B0772" w:rsidRPr="005B0772" w:rsidRDefault="005B0772" w:rsidP="005B0772">
      <w:pPr>
        <w:pStyle w:val="11"/>
        <w:tabs>
          <w:tab w:val="right" w:leader="dot" w:pos="9061"/>
        </w:tabs>
        <w:ind w:hanging="284"/>
        <w:rPr>
          <w:sz w:val="24"/>
          <w:szCs w:val="24"/>
        </w:rPr>
      </w:pPr>
    </w:p>
    <w:p w:rsidR="005B0772" w:rsidRPr="005B0772" w:rsidRDefault="005B0772" w:rsidP="005B0772">
      <w:pPr>
        <w:pStyle w:val="11"/>
        <w:tabs>
          <w:tab w:val="right" w:leader="dot" w:pos="9061"/>
        </w:tabs>
        <w:ind w:hanging="284"/>
        <w:rPr>
          <w:sz w:val="24"/>
          <w:szCs w:val="24"/>
        </w:rPr>
      </w:pPr>
      <w:r w:rsidRPr="005B0772">
        <w:rPr>
          <w:sz w:val="24"/>
          <w:szCs w:val="24"/>
        </w:rPr>
        <w:t>География транспорта и смежные науки</w:t>
      </w:r>
      <w:bookmarkEnd w:id="1"/>
    </w:p>
    <w:p w:rsidR="005B0772" w:rsidRPr="005B0772" w:rsidRDefault="005B0772">
      <w:pPr>
        <w:pStyle w:val="a5"/>
        <w:rPr>
          <w:sz w:val="24"/>
          <w:szCs w:val="24"/>
        </w:rPr>
      </w:pPr>
      <w:r w:rsidRPr="005B0772">
        <w:rPr>
          <w:sz w:val="24"/>
          <w:szCs w:val="24"/>
        </w:rPr>
        <w:t>География транспорта - прикладная дисциплина, входящая в состав географии – системы естественных физико-географических, экономико- и социально-географических наук, изучающих географическую оболочку земли, природные, производственно-территориальные и социально-территориальные комплексы и их компоненты. Систему географических наук объединяет тесная взаимосвязь между изучаемыми ими объектами и общностью конечной задачи, заключающейся в комплексном исследовании природы, населения и экономики и в установлении характера взаимодействия между человеческим обществом и географической средой. География транспорта, как и все географические науки, совмещает в себе проблемный и региональный аспекты исследований и относится системе экономической географии.</w:t>
      </w:r>
    </w:p>
    <w:p w:rsidR="005B0772" w:rsidRPr="005B0772" w:rsidRDefault="005B0772">
      <w:pPr>
        <w:pStyle w:val="a5"/>
        <w:rPr>
          <w:sz w:val="24"/>
          <w:szCs w:val="24"/>
        </w:rPr>
      </w:pPr>
      <w:r w:rsidRPr="005B0772">
        <w:rPr>
          <w:sz w:val="24"/>
          <w:szCs w:val="24"/>
        </w:rPr>
        <w:t>Предметом изучения географии транспорта является территориальное размещение транспорта и перевозок, закономерности, условия и особенности развития транспорта в составе территориально-хозяйственных комплексов различных континентов, стран и регионов.</w:t>
      </w:r>
    </w:p>
    <w:p w:rsidR="005B0772" w:rsidRPr="005B0772" w:rsidRDefault="005B0772">
      <w:pPr>
        <w:pStyle w:val="a5"/>
        <w:rPr>
          <w:sz w:val="24"/>
          <w:szCs w:val="24"/>
        </w:rPr>
      </w:pPr>
      <w:r w:rsidRPr="005B0772">
        <w:rPr>
          <w:sz w:val="24"/>
          <w:szCs w:val="24"/>
        </w:rPr>
        <w:t xml:space="preserve">К смежным с географией транспорта можно отнести все науки входящие в комплекс экономической географии (общая экономическая география, география промышленности, сельского хозяйства, экономическая картография и т.д.), т.к. объектами их изучения являются территориальная организация общества, особенности формирования территориально-экономической структуры хозяйства различных стран и регионов, транспорт является неотъемлемой частью развитого человеческого общества в целом и экономической системы. </w:t>
      </w:r>
    </w:p>
    <w:p w:rsidR="005B0772" w:rsidRPr="005B0772" w:rsidRDefault="005B0772">
      <w:pPr>
        <w:pStyle w:val="1"/>
        <w:ind w:firstLine="0"/>
        <w:rPr>
          <w:sz w:val="24"/>
          <w:szCs w:val="24"/>
        </w:rPr>
      </w:pPr>
      <w:bookmarkStart w:id="2" w:name="_Toc449787022"/>
      <w:r w:rsidRPr="005B0772">
        <w:rPr>
          <w:sz w:val="24"/>
          <w:szCs w:val="24"/>
        </w:rPr>
        <w:t>Перевозки пассажиров в России в 1940-90 гг.</w:t>
      </w:r>
      <w:bookmarkEnd w:id="2"/>
    </w:p>
    <w:p w:rsidR="005B0772" w:rsidRPr="005B0772" w:rsidRDefault="005B0772">
      <w:pPr>
        <w:pStyle w:val="a5"/>
        <w:spacing w:line="288" w:lineRule="auto"/>
        <w:ind w:firstLine="0"/>
        <w:jc w:val="center"/>
        <w:rPr>
          <w:spacing w:val="20"/>
          <w:sz w:val="24"/>
          <w:szCs w:val="24"/>
        </w:rPr>
      </w:pPr>
      <w:r w:rsidRPr="005B0772">
        <w:rPr>
          <w:spacing w:val="20"/>
          <w:sz w:val="24"/>
          <w:szCs w:val="24"/>
        </w:rPr>
        <w:t>Объем перевозок пассажиров в России за 1940-1994 гг., млн. чел.</w:t>
      </w: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B0772" w:rsidRPr="005B0772">
        <w:trPr>
          <w:cantSplit/>
          <w:tblHeader/>
          <w:jc w:val="center"/>
        </w:trPr>
        <w:tc>
          <w:tcPr>
            <w:tcW w:w="2730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Виды транспорта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1940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1960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1970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1980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1985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1990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1993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1994</w:t>
            </w:r>
          </w:p>
        </w:tc>
      </w:tr>
      <w:tr w:rsidR="005B0772" w:rsidRPr="005B0772">
        <w:trPr>
          <w:cantSplit/>
          <w:jc w:val="center"/>
        </w:trPr>
        <w:tc>
          <w:tcPr>
            <w:tcW w:w="2730" w:type="dxa"/>
          </w:tcPr>
          <w:p w:rsidR="005B0772" w:rsidRPr="005B0772" w:rsidRDefault="005B0772">
            <w:pPr>
              <w:pStyle w:val="DENCE"/>
              <w:ind w:firstLine="0"/>
            </w:pPr>
            <w:r w:rsidRPr="005B0772">
              <w:t>Железнодорожный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990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1606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2500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2971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3035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3143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2586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2365</w:t>
            </w:r>
          </w:p>
        </w:tc>
      </w:tr>
      <w:tr w:rsidR="005B0772" w:rsidRPr="005B0772">
        <w:trPr>
          <w:cantSplit/>
          <w:jc w:val="center"/>
        </w:trPr>
        <w:tc>
          <w:tcPr>
            <w:tcW w:w="2730" w:type="dxa"/>
          </w:tcPr>
          <w:p w:rsidR="005B0772" w:rsidRPr="005B0772" w:rsidRDefault="005B0772">
            <w:pPr>
              <w:pStyle w:val="DENCE"/>
              <w:ind w:firstLine="0"/>
            </w:pPr>
            <w:r w:rsidRPr="005B0772">
              <w:t>Автомобильный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429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7445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15053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23356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26018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28626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24124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23438</w:t>
            </w:r>
          </w:p>
        </w:tc>
      </w:tr>
      <w:tr w:rsidR="005B0772" w:rsidRPr="005B0772">
        <w:trPr>
          <w:cantSplit/>
          <w:jc w:val="center"/>
        </w:trPr>
        <w:tc>
          <w:tcPr>
            <w:tcW w:w="2730" w:type="dxa"/>
          </w:tcPr>
          <w:p w:rsidR="005B0772" w:rsidRPr="005B0772" w:rsidRDefault="005B0772">
            <w:pPr>
              <w:pStyle w:val="DENCE"/>
              <w:ind w:firstLine="0"/>
            </w:pPr>
            <w:r w:rsidRPr="005B0772">
              <w:t>Воздушный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-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45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66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73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91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42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33</w:t>
            </w:r>
          </w:p>
        </w:tc>
      </w:tr>
      <w:tr w:rsidR="005B0772" w:rsidRPr="005B0772">
        <w:trPr>
          <w:cantSplit/>
          <w:jc w:val="center"/>
        </w:trPr>
        <w:tc>
          <w:tcPr>
            <w:tcW w:w="2730" w:type="dxa"/>
          </w:tcPr>
          <w:p w:rsidR="005B0772" w:rsidRPr="005B0772" w:rsidRDefault="005B0772">
            <w:pPr>
              <w:pStyle w:val="DENCE"/>
              <w:ind w:firstLine="0"/>
            </w:pPr>
            <w:r w:rsidRPr="005B0772">
              <w:t>Речной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64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98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117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103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98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90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40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29</w:t>
            </w:r>
          </w:p>
        </w:tc>
      </w:tr>
      <w:tr w:rsidR="005B0772" w:rsidRPr="005B0772">
        <w:trPr>
          <w:cantSplit/>
          <w:jc w:val="center"/>
        </w:trPr>
        <w:tc>
          <w:tcPr>
            <w:tcW w:w="2730" w:type="dxa"/>
          </w:tcPr>
          <w:p w:rsidR="005B0772" w:rsidRPr="005B0772" w:rsidRDefault="005B0772">
            <w:pPr>
              <w:pStyle w:val="DENCE"/>
              <w:ind w:firstLine="0"/>
            </w:pPr>
            <w:r w:rsidRPr="005B0772">
              <w:t>Морской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-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-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-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-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18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4</w:t>
            </w:r>
          </w:p>
        </w:tc>
      </w:tr>
      <w:tr w:rsidR="005B0772" w:rsidRPr="005B0772">
        <w:trPr>
          <w:cantSplit/>
          <w:jc w:val="center"/>
        </w:trPr>
        <w:tc>
          <w:tcPr>
            <w:tcW w:w="2730" w:type="dxa"/>
          </w:tcPr>
          <w:p w:rsidR="005B0772" w:rsidRPr="005B0772" w:rsidRDefault="005B0772">
            <w:pPr>
              <w:pStyle w:val="DENCE"/>
              <w:ind w:firstLine="0"/>
            </w:pPr>
            <w:r w:rsidRPr="005B0772">
              <w:t>ВСЕГО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1483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9159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17715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26496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29242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31966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26798</w:t>
            </w:r>
          </w:p>
        </w:tc>
        <w:tc>
          <w:tcPr>
            <w:tcW w:w="851" w:type="dxa"/>
          </w:tcPr>
          <w:p w:rsidR="005B0772" w:rsidRPr="005B0772" w:rsidRDefault="005B0772">
            <w:pPr>
              <w:pStyle w:val="DENCE"/>
              <w:ind w:firstLine="0"/>
              <w:jc w:val="center"/>
            </w:pPr>
            <w:r w:rsidRPr="005B0772">
              <w:t>25869</w:t>
            </w:r>
          </w:p>
        </w:tc>
      </w:tr>
    </w:tbl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  <w:lang w:val="en-US"/>
        </w:rPr>
      </w:pP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  <w:r w:rsidRPr="005B0772">
        <w:rPr>
          <w:spacing w:val="20"/>
          <w:sz w:val="24"/>
          <w:szCs w:val="24"/>
        </w:rPr>
        <w:t>Приведенная выше таблица и построенные на ее основании графики характеризуют объем перевозок пассажиров в России за 1940-1994 годы.</w:t>
      </w: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  <w:r w:rsidRPr="005B0772">
        <w:rPr>
          <w:spacing w:val="20"/>
          <w:sz w:val="24"/>
          <w:szCs w:val="24"/>
        </w:rPr>
        <w:t xml:space="preserve">Общий объем перевозок пассажиров с 40-го по 90-й год вырос в 22 раза. Но легко заметить что, начиная с 80 года, темпы прироста резко снизились (70-80 гг. – на ~ 60%, 80-90 гг. лишь на ~ 20%). Это связанно с общим наступавшим застоем в развитии государства в целом и его экономики, в том числе и транспорта. Начиная с 90 года число перевезенных пассажиров стало снижаться и снижается до сих пор. Это связанно, на мой взгляд, с резким переходом к «российскому капитализму». Этот переход привел к параличу всю экономику страны и естественно транспортный комплекс, как одну из важнейших ее составляющих. Помимо того, что у большинства населения просто не стало денег на оплату транспортных услуг, непродуманные реформы привели к развалу и банкротству многие транспортные предприятия. У оставшихся наплаву нет средств для своего развития и приобретения новой техники, без которой не выдержать конкуренции, особенно при международных перевозках.  </w:t>
      </w: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  <w:r w:rsidRPr="005B0772">
        <w:rPr>
          <w:spacing w:val="20"/>
          <w:sz w:val="24"/>
          <w:szCs w:val="24"/>
        </w:rPr>
        <w:t>Картина распределения пассажиропотоков по видам транспорта является отражением современного состояния пассажирского транспорта.</w:t>
      </w: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  <w:r w:rsidRPr="005B0772">
        <w:rPr>
          <w:spacing w:val="20"/>
          <w:sz w:val="24"/>
          <w:szCs w:val="24"/>
        </w:rPr>
        <w:t>Начиная с 60-х годов, ведущую роль в пассажирских перевозках играет автомобильный транспорт. Начиная с 70-х годов, на его долю приходится ~ 90% всего количества перевезенных пассажиров. Около 9% приходится на долю железных дорог, а остальные виды транспорта перевозят менее 1% пассажиров. Но спад и кризис не обошли никого.</w:t>
      </w: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  <w:r w:rsidRPr="005B0772">
        <w:rPr>
          <w:spacing w:val="20"/>
          <w:sz w:val="24"/>
          <w:szCs w:val="24"/>
        </w:rPr>
        <w:t>Различие лишь в том, что у морского транспорта лучшие времена были в 1985 году, у речного – в 70-ом, у воздушного, автомобильного и железнодорожного – в 90-м.</w:t>
      </w: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  <w:r w:rsidRPr="005B0772">
        <w:rPr>
          <w:spacing w:val="20"/>
          <w:sz w:val="24"/>
          <w:szCs w:val="24"/>
        </w:rPr>
        <w:t>Можно сделать вывод о том, что подъем в пассажирских перевозках наступит только вместе с общим подъемом в экономике страны, который приведет к увеличению доходов населения. Пока не будет платежеспособных пассажиров, пассажирский транспорт не выйдет из кризиса.</w:t>
      </w:r>
    </w:p>
    <w:p w:rsidR="005B0772" w:rsidRPr="005B0772" w:rsidRDefault="008B3C95">
      <w:pPr>
        <w:pStyle w:val="1"/>
        <w:ind w:firstLine="0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468.05pt;height:646pt;z-index:251657216" o:allowincell="f">
            <v:imagedata r:id="rId7" o:title=""/>
            <w10:wrap type="topAndBottom"/>
          </v:shape>
        </w:pict>
      </w:r>
      <w:r w:rsidR="005B0772" w:rsidRPr="005B0772">
        <w:rPr>
          <w:sz w:val="24"/>
          <w:szCs w:val="24"/>
        </w:rPr>
        <w:br w:type="page"/>
      </w:r>
      <w:r>
        <w:rPr>
          <w:noProof/>
        </w:rPr>
        <w:pict>
          <v:shape id="_x0000_s1029" type="#_x0000_t75" style="position:absolute;left:0;text-align:left;margin-left:0;margin-top:0;width:455.45pt;height:665.35pt;z-index:251658240" o:allowincell="f">
            <v:imagedata r:id="rId8" o:title=""/>
            <w10:wrap type="topAndBottom"/>
          </v:shape>
        </w:pict>
      </w:r>
      <w:r w:rsidR="005B0772" w:rsidRPr="005B0772">
        <w:rPr>
          <w:sz w:val="24"/>
          <w:szCs w:val="24"/>
        </w:rPr>
        <w:br w:type="page"/>
        <w:t>Характеристика Балтийского морского бассейна</w:t>
      </w:r>
      <w:bookmarkEnd w:id="0"/>
    </w:p>
    <w:p w:rsidR="005B0772" w:rsidRPr="005B0772" w:rsidRDefault="005B0772">
      <w:pPr>
        <w:pStyle w:val="a5"/>
        <w:rPr>
          <w:sz w:val="24"/>
          <w:szCs w:val="24"/>
        </w:rPr>
      </w:pPr>
      <w:r w:rsidRPr="005B0772">
        <w:rPr>
          <w:sz w:val="24"/>
          <w:szCs w:val="24"/>
        </w:rPr>
        <w:t>Балтийским морем называют часть Атлантического океана между берегов Северной и Средней Европы площадью 419 тыс. м</w:t>
      </w:r>
      <w:r w:rsidRPr="005B0772">
        <w:rPr>
          <w:sz w:val="24"/>
          <w:szCs w:val="24"/>
          <w:vertAlign w:val="superscript"/>
        </w:rPr>
        <w:t>2</w:t>
      </w:r>
      <w:r w:rsidRPr="005B0772">
        <w:rPr>
          <w:sz w:val="24"/>
          <w:szCs w:val="24"/>
        </w:rPr>
        <w:t>. Преобладающие глубины на Балтике составляют 40-100 метров, максимальная глубина 470 метров. Крупные острова: Борнхольм, Готланд, Эланд, Сааремаа, Хийумаа, Рюген, Аландские. Крупные заливы: Ботнический, Финский, Рижский. В Балтийское море впадают реки Нева, Даугава (Западная Двина), Неман, Висла, Одра. Основные порты: Ленинград, Таллинн, Рига, Вентспилс, Лиепая, Клайпеда, Калининград, Гданьск-Гдыня, Щецин, Киль, Росток, Любек, Копенгаген, Мальмё, Стокгольм, Лулео, Турку, Хельсинки. Соленость воды в западной части составляет 11%</w:t>
      </w:r>
      <w:r w:rsidRPr="005B0772">
        <w:rPr>
          <w:sz w:val="24"/>
          <w:szCs w:val="24"/>
          <w:vertAlign w:val="subscript"/>
        </w:rPr>
        <w:t>0</w:t>
      </w:r>
      <w:r w:rsidRPr="005B0772">
        <w:rPr>
          <w:sz w:val="24"/>
          <w:szCs w:val="24"/>
        </w:rPr>
        <w:t>, в центральной 6-8%</w:t>
      </w:r>
      <w:r w:rsidRPr="005B0772">
        <w:rPr>
          <w:sz w:val="24"/>
          <w:szCs w:val="24"/>
          <w:vertAlign w:val="subscript"/>
        </w:rPr>
        <w:t>0</w:t>
      </w:r>
      <w:r w:rsidRPr="005B0772">
        <w:rPr>
          <w:sz w:val="24"/>
          <w:szCs w:val="24"/>
        </w:rPr>
        <w:t>. В северо-восточной части замерзает. Развито рыболовство (балтийская треска, салака, килька). Балтийское море соединяется с Северным морем и остальной Атлантикой через Датские проливы.</w:t>
      </w:r>
    </w:p>
    <w:p w:rsidR="005B0772" w:rsidRPr="005B0772" w:rsidRDefault="005B0772">
      <w:pPr>
        <w:pStyle w:val="a5"/>
        <w:rPr>
          <w:sz w:val="24"/>
          <w:szCs w:val="24"/>
        </w:rPr>
      </w:pPr>
      <w:r w:rsidRPr="005B0772">
        <w:rPr>
          <w:sz w:val="24"/>
          <w:szCs w:val="24"/>
        </w:rPr>
        <w:t xml:space="preserve">Датские проливы (Балтийские проливы) – система проливов, соединяющая Балтийское море  с Северным морем, между Скандинавским полуостровом и полуостровом Ютландия. К ним относятся проливы Малый Бельт, Большой Бельт, Эресунн (Зунд), Каттегат и Скагеррак. 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При оценке развития транспорта в Балтийском регионе сравни</w:t>
      </w:r>
      <w:r w:rsidRPr="005B0772">
        <w:rPr>
          <w:snapToGrid w:val="0"/>
          <w:sz w:val="24"/>
          <w:szCs w:val="24"/>
        </w:rPr>
        <w:softHyphen/>
        <w:t>вают показатели объемов грузоперевозок и плотности дорог. По плотности железных дорог в регионе выделяются Германия и Поль</w:t>
      </w:r>
      <w:r w:rsidRPr="005B0772">
        <w:rPr>
          <w:snapToGrid w:val="0"/>
          <w:sz w:val="24"/>
          <w:szCs w:val="24"/>
        </w:rPr>
        <w:softHyphen/>
        <w:t>ша, имеющие соответственно 125 км и 79,7 км на 1000 км</w:t>
      </w:r>
      <w:r w:rsidRPr="005B0772">
        <w:rPr>
          <w:snapToGrid w:val="0"/>
          <w:sz w:val="24"/>
          <w:szCs w:val="24"/>
          <w:vertAlign w:val="superscript"/>
        </w:rPr>
        <w:t>2</w:t>
      </w:r>
      <w:r w:rsidRPr="005B0772">
        <w:rPr>
          <w:snapToGrid w:val="0"/>
          <w:sz w:val="24"/>
          <w:szCs w:val="24"/>
        </w:rPr>
        <w:t xml:space="preserve"> террито</w:t>
      </w:r>
      <w:r w:rsidRPr="005B0772">
        <w:rPr>
          <w:snapToGrid w:val="0"/>
          <w:sz w:val="24"/>
          <w:szCs w:val="24"/>
        </w:rPr>
        <w:softHyphen/>
        <w:t>рии. Наименьшие показатели имеют Россия и Финлян</w:t>
      </w:r>
      <w:r w:rsidRPr="005B0772">
        <w:rPr>
          <w:snapToGrid w:val="0"/>
          <w:sz w:val="24"/>
          <w:szCs w:val="24"/>
        </w:rPr>
        <w:softHyphen/>
        <w:t>дия, что в первую очередь, связано с природными условиями. Кали</w:t>
      </w:r>
      <w:r w:rsidRPr="005B0772">
        <w:rPr>
          <w:snapToGrid w:val="0"/>
          <w:sz w:val="24"/>
          <w:szCs w:val="24"/>
        </w:rPr>
        <w:softHyphen/>
        <w:t>нинградская область имеет достаточно высокий показатель: 48,3 км/1000 км</w:t>
      </w:r>
      <w:r w:rsidRPr="005B0772">
        <w:rPr>
          <w:snapToGrid w:val="0"/>
          <w:sz w:val="24"/>
          <w:szCs w:val="24"/>
          <w:vertAlign w:val="superscript"/>
        </w:rPr>
        <w:t>2</w:t>
      </w:r>
      <w:r w:rsidRPr="005B0772">
        <w:rPr>
          <w:snapToGrid w:val="0"/>
          <w:sz w:val="24"/>
          <w:szCs w:val="24"/>
        </w:rPr>
        <w:t xml:space="preserve"> - больше, чем в государствах Балтии. Однако по объему перевозок грузов на километр дорог выделяются Россия и страны Балтии, что свидетельствует о перегрузке дорог, а соответственно и об их недостатке.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По плотности автомобильных дорог лидируют Германия, Дания и Польша (свыше 1000 км/1000 км</w:t>
      </w:r>
      <w:r w:rsidRPr="005B0772">
        <w:rPr>
          <w:snapToGrid w:val="0"/>
          <w:sz w:val="24"/>
          <w:szCs w:val="24"/>
          <w:vertAlign w:val="superscript"/>
        </w:rPr>
        <w:t>2</w:t>
      </w:r>
      <w:r w:rsidRPr="005B0772">
        <w:rPr>
          <w:snapToGrid w:val="0"/>
          <w:sz w:val="24"/>
          <w:szCs w:val="24"/>
        </w:rPr>
        <w:t xml:space="preserve"> территории). Наиболее низкий показатель плотности у России - 23 км/1000 км</w:t>
      </w:r>
      <w:r w:rsidRPr="005B0772">
        <w:rPr>
          <w:snapToGrid w:val="0"/>
          <w:sz w:val="24"/>
          <w:szCs w:val="24"/>
          <w:vertAlign w:val="superscript"/>
        </w:rPr>
        <w:t>2</w:t>
      </w:r>
      <w:r w:rsidRPr="005B0772">
        <w:rPr>
          <w:snapToGrid w:val="0"/>
          <w:sz w:val="24"/>
          <w:szCs w:val="24"/>
        </w:rPr>
        <w:t>. Калининградская область имеет показатель, сопоставимый с Республиками Балтии (306 км/1000 км</w:t>
      </w:r>
      <w:r w:rsidRPr="005B0772">
        <w:rPr>
          <w:snapToGrid w:val="0"/>
          <w:sz w:val="24"/>
          <w:szCs w:val="24"/>
          <w:vertAlign w:val="superscript"/>
        </w:rPr>
        <w:t>2</w:t>
      </w:r>
      <w:r w:rsidRPr="005B0772">
        <w:rPr>
          <w:snapToGrid w:val="0"/>
          <w:sz w:val="24"/>
          <w:szCs w:val="24"/>
        </w:rPr>
        <w:t>), что более чем в два раза выше других областей Северо-Запада России. По удельному показателю перевозок грузов на километр дорог наивысший показатель имеет Россия, наинизший -Латвия и Эстония. Следовательно, Россия ощущает недостаток до</w:t>
      </w:r>
      <w:r w:rsidRPr="005B0772">
        <w:rPr>
          <w:snapToGrid w:val="0"/>
          <w:sz w:val="24"/>
          <w:szCs w:val="24"/>
        </w:rPr>
        <w:softHyphen/>
        <w:t>рог, а Латвия и Эстония недостаточное развитие автотранспорта. По перевозке грузов железнодорожным и особенно автомобильным транспортом Калининградская область имеет низкие показатели в регионе.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В перевозке грузов морским транспортом Россия занимает край</w:t>
      </w:r>
      <w:r w:rsidRPr="005B0772">
        <w:rPr>
          <w:snapToGrid w:val="0"/>
          <w:sz w:val="24"/>
          <w:szCs w:val="24"/>
        </w:rPr>
        <w:softHyphen/>
        <w:t>не низкое место в регионе, превосходя по объемам только республи</w:t>
      </w:r>
      <w:r w:rsidRPr="005B0772">
        <w:rPr>
          <w:snapToGrid w:val="0"/>
          <w:sz w:val="24"/>
          <w:szCs w:val="24"/>
        </w:rPr>
        <w:softHyphen/>
        <w:t>ки Балтии и значительно уступая Германии и Швеции. Так, годовой объем грузооборота в морских портах России составляет 69 млн. т, в то время как в Германии 176,5 млн. т, а в Финляндии с 5-миллионным населением - 64,5 млн. т.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В 1996 г., несмотря на продолжающийся спад промышленного производства, отмечен значительный рост объемов внешней торгов</w:t>
      </w:r>
      <w:r w:rsidRPr="005B0772">
        <w:rPr>
          <w:snapToGrid w:val="0"/>
          <w:sz w:val="24"/>
          <w:szCs w:val="24"/>
        </w:rPr>
        <w:softHyphen/>
        <w:t>ли с западноевропейскими странами при росте перевозок всеми ви</w:t>
      </w:r>
      <w:r w:rsidRPr="005B0772">
        <w:rPr>
          <w:snapToGrid w:val="0"/>
          <w:sz w:val="24"/>
          <w:szCs w:val="24"/>
        </w:rPr>
        <w:softHyphen/>
        <w:t>дами транспорта до 84 млн.т российских экспортно-импортных гру</w:t>
      </w:r>
      <w:r w:rsidRPr="005B0772">
        <w:rPr>
          <w:snapToGrid w:val="0"/>
          <w:sz w:val="24"/>
          <w:szCs w:val="24"/>
        </w:rPr>
        <w:softHyphen/>
        <w:t>зов. Из них 80% составил экспорт и 20% - импорт. По ви</w:t>
      </w:r>
      <w:r w:rsidRPr="005B0772">
        <w:rPr>
          <w:snapToGrid w:val="0"/>
          <w:sz w:val="24"/>
          <w:szCs w:val="24"/>
        </w:rPr>
        <w:softHyphen/>
        <w:t>дам транспорта перевозки распределялись следующим образом: мор</w:t>
      </w:r>
      <w:r w:rsidRPr="005B0772">
        <w:rPr>
          <w:snapToGrid w:val="0"/>
          <w:sz w:val="24"/>
          <w:szCs w:val="24"/>
        </w:rPr>
        <w:softHyphen/>
        <w:t>ской транспорт - 56 млн. т; река-море - 6 млн. т; железнодорожный транспорт - 18 млн. т; автомобильный - 4 млн. т. Удельный вес су</w:t>
      </w:r>
      <w:r w:rsidRPr="005B0772">
        <w:rPr>
          <w:snapToGrid w:val="0"/>
          <w:sz w:val="24"/>
          <w:szCs w:val="24"/>
        </w:rPr>
        <w:softHyphen/>
        <w:t>хопутного транспорта составил 26%. Из 56 млн. т морских перевозок перегружено: в портах Балтии - 36 млн. т; в балтийских портах Рос</w:t>
      </w:r>
      <w:r w:rsidRPr="005B0772">
        <w:rPr>
          <w:snapToGrid w:val="0"/>
          <w:sz w:val="24"/>
          <w:szCs w:val="24"/>
        </w:rPr>
        <w:softHyphen/>
        <w:t>сии - 14 млн.т; в портах Финляндии - 6 млн.т.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В Латвии до 1993 г. объемы грузооборота морских портов сни</w:t>
      </w:r>
      <w:r w:rsidRPr="005B0772">
        <w:rPr>
          <w:snapToGrid w:val="0"/>
          <w:sz w:val="24"/>
          <w:szCs w:val="24"/>
        </w:rPr>
        <w:softHyphen/>
        <w:t>жались с 36,2 млн. т в 1990 г. до 27,4 млн. т в 1992 г. Однако с 1993 г. объемы стали возрастать и в 1994 г. составили 35,1 млн. т, т.е. практически достигли уровня 1990 г. Прирост транзита грузов пози</w:t>
      </w:r>
      <w:r w:rsidRPr="005B0772">
        <w:rPr>
          <w:snapToGrid w:val="0"/>
          <w:sz w:val="24"/>
          <w:szCs w:val="24"/>
        </w:rPr>
        <w:softHyphen/>
        <w:t>тивно повлиял на деятельность портов, и в 1995 г. грузооборот увеличился еще на 11%, достигнув 38,9 млн. т.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В Литве объем перевозки грузов Клайпедского порта снизился с 14,66 млн. т в 1994 г. до 12,65 млн. т в 1995 г. или на 13%. Это свя</w:t>
      </w:r>
      <w:r w:rsidRPr="005B0772">
        <w:rPr>
          <w:snapToGrid w:val="0"/>
          <w:sz w:val="24"/>
          <w:szCs w:val="24"/>
        </w:rPr>
        <w:softHyphen/>
        <w:t>зано с возросшей конкуренцией со стороны латвийских и эстонских портов. Например, после повышения Белоруссией тарифов на желез</w:t>
      </w:r>
      <w:r w:rsidRPr="005B0772">
        <w:rPr>
          <w:snapToGrid w:val="0"/>
          <w:sz w:val="24"/>
          <w:szCs w:val="24"/>
        </w:rPr>
        <w:softHyphen/>
        <w:t>нодорожные перевозки в четыре раза загрузка нефтетерминала сни</w:t>
      </w:r>
      <w:r w:rsidRPr="005B0772">
        <w:rPr>
          <w:snapToGrid w:val="0"/>
          <w:sz w:val="24"/>
          <w:szCs w:val="24"/>
        </w:rPr>
        <w:softHyphen/>
        <w:t>зилась более чем в два раза, а экспорт мазута из России переориен</w:t>
      </w:r>
      <w:r w:rsidRPr="005B0772">
        <w:rPr>
          <w:snapToGrid w:val="0"/>
          <w:sz w:val="24"/>
          <w:szCs w:val="24"/>
        </w:rPr>
        <w:softHyphen/>
        <w:t>тировался на латвийские порты.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К крупнейшим портам Балтики, перерабатывающим свыше 20 млн. т грузов, относятся Гетеборг (Швеция), Гамбург (Германия), Вентспилс (Латвия) и Гданьск (Польша). Причем мощности Вентспилского порта составляют 64 млн. т (в 1995 г. перевалка гру</w:t>
      </w:r>
      <w:r w:rsidRPr="005B0772">
        <w:rPr>
          <w:snapToGrid w:val="0"/>
          <w:sz w:val="24"/>
          <w:szCs w:val="24"/>
        </w:rPr>
        <w:softHyphen/>
        <w:t>зов составила 29,6 млн. т). К крупным портам с объемами переработ</w:t>
      </w:r>
      <w:r w:rsidRPr="005B0772">
        <w:rPr>
          <w:snapToGrid w:val="0"/>
          <w:sz w:val="24"/>
          <w:szCs w:val="24"/>
        </w:rPr>
        <w:softHyphen/>
        <w:t>ки грузов от 10 до 20 млн. т относятся порты Любек (Германия), Щецин-Свиноусьце (Польша), Таллинн (Эстония), Клайпеда (Литва), Санкт-Петербург (Россия) и Копенгаген (Дания). В 1995 г. по объему грузооборота Калининград занимал одно из последних мест среди ведущих региональных портов Восточной и Южной Балтики.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В связи с геополитическим положением Калининградской облас</w:t>
      </w:r>
      <w:r w:rsidRPr="005B0772">
        <w:rPr>
          <w:snapToGrid w:val="0"/>
          <w:sz w:val="24"/>
          <w:szCs w:val="24"/>
        </w:rPr>
        <w:softHyphen/>
        <w:t>ти, транзитными и пограничными проблемами объемы перевозок грузов снижались более быстрыми темпами, чем в России и Северо-западном регионе. По России с 1990 по 1994 гг. объемы грузоперево</w:t>
      </w:r>
      <w:r w:rsidRPr="005B0772">
        <w:rPr>
          <w:snapToGrid w:val="0"/>
          <w:sz w:val="24"/>
          <w:szCs w:val="24"/>
        </w:rPr>
        <w:softHyphen/>
        <w:t>зок снизились на 41,5%, при наибольшем снижении на внутреннем водном и воздушном транспорте, что составило соответственно 72,4 и 72,0%. В Калининградской области снижение составило 60,8%, при максимальном падении грузоперевозок на автомобильном (72,6%) и водном (70,7%) транспорте. При этом доля  транспортного комплекса Калининградской области в общероссий</w:t>
      </w:r>
      <w:r w:rsidRPr="005B0772">
        <w:rPr>
          <w:snapToGrid w:val="0"/>
          <w:sz w:val="24"/>
          <w:szCs w:val="24"/>
        </w:rPr>
        <w:softHyphen/>
        <w:t>ской структуре снизилась с 0,6 до 0,42%, в том числе на автомобильном транспорте с 0,46 до 0,2% и на морском транспорте с 3,2 до 2,9%. Особую озабоченность вызывает снижение грузооборота через морские порты, которые обеспечивают грузами и другие виды транспорта. Причем это падение происходит на фоне роста грузо</w:t>
      </w:r>
      <w:r w:rsidRPr="005B0772">
        <w:rPr>
          <w:snapToGrid w:val="0"/>
          <w:sz w:val="24"/>
          <w:szCs w:val="24"/>
        </w:rPr>
        <w:softHyphen/>
        <w:t>оборота в портах Балтии и проектирования крупных новых портов.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В Северо-Западном регионе Калининградская область отличается слабым развитием автомобильного транспорта (доля которого в об</w:t>
      </w:r>
      <w:r w:rsidRPr="005B0772">
        <w:rPr>
          <w:snapToGrid w:val="0"/>
          <w:sz w:val="24"/>
          <w:szCs w:val="24"/>
        </w:rPr>
        <w:softHyphen/>
        <w:t>щем объеме грузоперевозок составляет менее 20%) и более сильным развитием воздушного (хотя он и не играет определяющей роли в грузоперевозках). Наиболее развит транспортный комплекс в Санкт-Петербурге и Ленинградской области, где в 1995 г. объем грузоперевозок составил 133,4 млн. т, или в 11 раз больше, чем в Калинин</w:t>
      </w:r>
      <w:r w:rsidRPr="005B0772">
        <w:rPr>
          <w:snapToGrid w:val="0"/>
          <w:sz w:val="24"/>
          <w:szCs w:val="24"/>
        </w:rPr>
        <w:softHyphen/>
        <w:t>градской области, при соотношении численности населения 7:1.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Значительно уступает Калининградская область другим областям Северо-Запада в перевозке пассажиров всеми видами транспорта, за исключением воздушного. Это связано как с географическим положением области, так и с недостатком пассажирского парка. Напри</w:t>
      </w:r>
      <w:r w:rsidRPr="005B0772">
        <w:rPr>
          <w:snapToGrid w:val="0"/>
          <w:sz w:val="24"/>
          <w:szCs w:val="24"/>
        </w:rPr>
        <w:softHyphen/>
        <w:t>мер, по обеспеченности населения автобусами общего пользования на 100 000 человек область уступает Новгородской и Псковской областям почти в два раза, что не компенсируется трамвайным парком.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В перспективе Калининградская область при благоприятной по</w:t>
      </w:r>
      <w:r w:rsidRPr="005B0772">
        <w:rPr>
          <w:snapToGrid w:val="0"/>
          <w:sz w:val="24"/>
          <w:szCs w:val="24"/>
        </w:rPr>
        <w:softHyphen/>
        <w:t>литической ситуации и решении транзитных проблем имеет опреде</w:t>
      </w:r>
      <w:r w:rsidRPr="005B0772">
        <w:rPr>
          <w:snapToGrid w:val="0"/>
          <w:sz w:val="24"/>
          <w:szCs w:val="24"/>
        </w:rPr>
        <w:softHyphen/>
        <w:t>ленные преимущества перед Псковской и Новгородской областями в связи с включением области в европейскую транспортную систему.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Рассматривая перспективы и направления развития транспортно</w:t>
      </w:r>
      <w:r w:rsidRPr="005B0772">
        <w:rPr>
          <w:snapToGrid w:val="0"/>
          <w:sz w:val="24"/>
          <w:szCs w:val="24"/>
        </w:rPr>
        <w:softHyphen/>
        <w:t>го комплекса Балтийского региона, особое внимание следует уделить вопросам развития восточно-балтийских портов, остро конкурирую</w:t>
      </w:r>
      <w:r w:rsidRPr="005B0772">
        <w:rPr>
          <w:snapToGrid w:val="0"/>
          <w:sz w:val="24"/>
          <w:szCs w:val="24"/>
        </w:rPr>
        <w:softHyphen/>
        <w:t>щих между собой в борьбе за российские грузы. Фактически страны Балтии, Россия и Финляндия подготовили программы развития мор</w:t>
      </w:r>
      <w:r w:rsidRPr="005B0772">
        <w:rPr>
          <w:snapToGrid w:val="0"/>
          <w:sz w:val="24"/>
          <w:szCs w:val="24"/>
        </w:rPr>
        <w:softHyphen/>
        <w:t>ских портов на период до 2010 г. В России это Государственная про</w:t>
      </w:r>
      <w:r w:rsidRPr="005B0772">
        <w:rPr>
          <w:snapToGrid w:val="0"/>
          <w:sz w:val="24"/>
          <w:szCs w:val="24"/>
        </w:rPr>
        <w:softHyphen/>
        <w:t>грамма возрождения Российского флота, а в Латвии - Национальная программа развития транспорта. В российской программе особое значение придается развитию торговли с традиционными западными партнерами, в связи с чем предусматривается модернизация существующих портов в Северо-Западном бассейне и строительство четы</w:t>
      </w:r>
      <w:r w:rsidRPr="005B0772">
        <w:rPr>
          <w:snapToGrid w:val="0"/>
          <w:sz w:val="24"/>
          <w:szCs w:val="24"/>
        </w:rPr>
        <w:softHyphen/>
        <w:t>рех новых транспортно-технологических портовых комплексов в Финском заливе.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Конкуренция между портами приведет к снижению тарифов на обработку грузов и улучшению (ускорению) обслуживания, но одно</w:t>
      </w:r>
      <w:r w:rsidRPr="005B0772">
        <w:rPr>
          <w:snapToGrid w:val="0"/>
          <w:sz w:val="24"/>
          <w:szCs w:val="24"/>
        </w:rPr>
        <w:softHyphen/>
        <w:t>временно с этим и к снижению экономической эффективности дея</w:t>
      </w:r>
      <w:r w:rsidRPr="005B0772">
        <w:rPr>
          <w:snapToGrid w:val="0"/>
          <w:sz w:val="24"/>
          <w:szCs w:val="24"/>
        </w:rPr>
        <w:softHyphen/>
        <w:t>тельности портов и удлинению сроков окупаемости капиталовложе</w:t>
      </w:r>
      <w:r w:rsidRPr="005B0772">
        <w:rPr>
          <w:snapToGrid w:val="0"/>
          <w:sz w:val="24"/>
          <w:szCs w:val="24"/>
        </w:rPr>
        <w:softHyphen/>
        <w:t>ний. Дополнительная конкуренция создается за счет планов развития транспортных коридоров Запад - Восток и Север - Юг и в особенно</w:t>
      </w:r>
      <w:r w:rsidRPr="005B0772">
        <w:rPr>
          <w:snapToGrid w:val="0"/>
          <w:sz w:val="24"/>
          <w:szCs w:val="24"/>
        </w:rPr>
        <w:softHyphen/>
        <w:t>сти транспортных коридоров Берлин - Москва, Виа Балтика, Ганзеатика, ТЕМ/ТЕР, Пловдив - Киев - Санкт-Петербург - Хельсинки, ко</w:t>
      </w:r>
      <w:r w:rsidRPr="005B0772">
        <w:rPr>
          <w:snapToGrid w:val="0"/>
          <w:sz w:val="24"/>
          <w:szCs w:val="24"/>
        </w:rPr>
        <w:softHyphen/>
        <w:t>торые оттянут часть грузов от портов. Поэтому стратегия развития транспортного комплекса должна учитывать существующие реалии и основываться не на чувстве "местничества", а на экономических рас</w:t>
      </w:r>
      <w:r w:rsidRPr="005B0772">
        <w:rPr>
          <w:snapToGrid w:val="0"/>
          <w:sz w:val="24"/>
          <w:szCs w:val="24"/>
        </w:rPr>
        <w:softHyphen/>
        <w:t>четах с учетом международной кооперации и разделения труда.</w:t>
      </w:r>
    </w:p>
    <w:p w:rsidR="005B0772" w:rsidRPr="005B0772" w:rsidRDefault="005B0772">
      <w:pPr>
        <w:pStyle w:val="a5"/>
        <w:rPr>
          <w:snapToGrid w:val="0"/>
          <w:sz w:val="24"/>
          <w:szCs w:val="24"/>
        </w:rPr>
      </w:pPr>
      <w:r w:rsidRPr="005B0772">
        <w:rPr>
          <w:snapToGrid w:val="0"/>
          <w:sz w:val="24"/>
          <w:szCs w:val="24"/>
        </w:rPr>
        <w:t>По внешним оценкам Калининградский порт не может претендо</w:t>
      </w:r>
      <w:r w:rsidRPr="005B0772">
        <w:rPr>
          <w:snapToGrid w:val="0"/>
          <w:sz w:val="24"/>
          <w:szCs w:val="24"/>
        </w:rPr>
        <w:softHyphen/>
        <w:t>вать на роль крупного центра уже потому, что железнодорожные пу</w:t>
      </w:r>
      <w:r w:rsidRPr="005B0772">
        <w:rPr>
          <w:snapToGrid w:val="0"/>
          <w:sz w:val="24"/>
          <w:szCs w:val="24"/>
        </w:rPr>
        <w:softHyphen/>
        <w:t>ти проходят по застроенным городским массивам. Здесь есть лишь мелководный канал с односторонним движением, а все грузы прихо</w:t>
      </w:r>
      <w:r w:rsidRPr="005B0772">
        <w:rPr>
          <w:snapToGrid w:val="0"/>
          <w:sz w:val="24"/>
          <w:szCs w:val="24"/>
        </w:rPr>
        <w:softHyphen/>
        <w:t>дится перевозить через территории иностранных государств. Следует также учитывать значительное временное отставание от стран Бал</w:t>
      </w:r>
      <w:r w:rsidRPr="005B0772">
        <w:rPr>
          <w:snapToGrid w:val="0"/>
          <w:sz w:val="24"/>
          <w:szCs w:val="24"/>
        </w:rPr>
        <w:softHyphen/>
        <w:t xml:space="preserve">тии в борьбе за российский транзит. </w:t>
      </w:r>
    </w:p>
    <w:p w:rsidR="005B0772" w:rsidRPr="005B0772" w:rsidRDefault="005B0772">
      <w:pPr>
        <w:pStyle w:val="1"/>
        <w:ind w:firstLine="0"/>
        <w:rPr>
          <w:sz w:val="24"/>
          <w:szCs w:val="24"/>
        </w:rPr>
      </w:pPr>
      <w:bookmarkStart w:id="3" w:name="_Toc449787024"/>
      <w:r w:rsidRPr="005B0772">
        <w:rPr>
          <w:sz w:val="24"/>
          <w:szCs w:val="24"/>
        </w:rPr>
        <w:t>Литература</w:t>
      </w:r>
      <w:bookmarkEnd w:id="3"/>
    </w:p>
    <w:p w:rsidR="005B0772" w:rsidRPr="005B0772" w:rsidRDefault="005B0772">
      <w:pPr>
        <w:rPr>
          <w:sz w:val="24"/>
          <w:szCs w:val="24"/>
        </w:rPr>
      </w:pPr>
    </w:p>
    <w:p w:rsidR="005B0772" w:rsidRPr="005B0772" w:rsidRDefault="005B0772">
      <w:pPr>
        <w:pStyle w:val="a5"/>
        <w:numPr>
          <w:ilvl w:val="0"/>
          <w:numId w:val="1"/>
        </w:numPr>
        <w:rPr>
          <w:sz w:val="24"/>
          <w:szCs w:val="24"/>
        </w:rPr>
      </w:pPr>
      <w:r w:rsidRPr="005B0772">
        <w:rPr>
          <w:sz w:val="24"/>
          <w:szCs w:val="24"/>
        </w:rPr>
        <w:t>Блидман А.Ф., Прохоров А.Г. Экономика стран северной Европы. М.: БЕК. 1990 год.;</w:t>
      </w:r>
    </w:p>
    <w:p w:rsidR="005B0772" w:rsidRPr="005B0772" w:rsidRDefault="005B0772">
      <w:pPr>
        <w:pStyle w:val="a5"/>
        <w:numPr>
          <w:ilvl w:val="0"/>
          <w:numId w:val="1"/>
        </w:numPr>
        <w:rPr>
          <w:sz w:val="24"/>
          <w:szCs w:val="24"/>
        </w:rPr>
      </w:pPr>
      <w:r w:rsidRPr="005B0772">
        <w:rPr>
          <w:sz w:val="24"/>
          <w:szCs w:val="24"/>
        </w:rPr>
        <w:t>Богомазов В.А. Регулирование транспортной деятельности и стратегическое управление транспортными предприятиями / СПбГИЭА. – СПб., 1997.</w:t>
      </w:r>
    </w:p>
    <w:p w:rsidR="005B0772" w:rsidRPr="005B0772" w:rsidRDefault="005B0772">
      <w:pPr>
        <w:pStyle w:val="a5"/>
        <w:numPr>
          <w:ilvl w:val="0"/>
          <w:numId w:val="1"/>
        </w:numPr>
        <w:rPr>
          <w:sz w:val="24"/>
          <w:szCs w:val="24"/>
        </w:rPr>
      </w:pPr>
      <w:r w:rsidRPr="005B0772">
        <w:rPr>
          <w:sz w:val="24"/>
          <w:szCs w:val="24"/>
        </w:rPr>
        <w:t>Гриневич Г.П. Морской транспорт. М.: Транспорт. 1990 год.;</w:t>
      </w:r>
    </w:p>
    <w:p w:rsidR="005B0772" w:rsidRPr="005B0772" w:rsidRDefault="005B0772">
      <w:pPr>
        <w:pStyle w:val="a5"/>
        <w:numPr>
          <w:ilvl w:val="0"/>
          <w:numId w:val="1"/>
        </w:numPr>
        <w:rPr>
          <w:sz w:val="24"/>
          <w:szCs w:val="24"/>
        </w:rPr>
      </w:pPr>
      <w:r w:rsidRPr="005B0772">
        <w:rPr>
          <w:sz w:val="24"/>
          <w:szCs w:val="24"/>
        </w:rPr>
        <w:t>Маликов О.Б., Малкович А.Р. Морские транспортные перевозки. Справочник. СПб.: Транспорт. 1989 год.</w:t>
      </w:r>
    </w:p>
    <w:p w:rsidR="005B0772" w:rsidRPr="005B0772" w:rsidRDefault="005B0772">
      <w:pPr>
        <w:pStyle w:val="a5"/>
        <w:numPr>
          <w:ilvl w:val="0"/>
          <w:numId w:val="1"/>
        </w:numPr>
        <w:rPr>
          <w:sz w:val="24"/>
          <w:szCs w:val="24"/>
        </w:rPr>
      </w:pPr>
      <w:r w:rsidRPr="005B0772">
        <w:rPr>
          <w:sz w:val="24"/>
          <w:szCs w:val="24"/>
        </w:rPr>
        <w:t>Мостовой И.Ф. Экономическая география. Учебное пособие. М.: Авис. 1994 год..</w:t>
      </w:r>
    </w:p>
    <w:p w:rsidR="005B0772" w:rsidRPr="005B0772" w:rsidRDefault="005B0772">
      <w:pPr>
        <w:pStyle w:val="a5"/>
        <w:numPr>
          <w:ilvl w:val="0"/>
          <w:numId w:val="1"/>
        </w:numPr>
        <w:rPr>
          <w:sz w:val="24"/>
          <w:szCs w:val="24"/>
        </w:rPr>
      </w:pPr>
      <w:r w:rsidRPr="005B0772">
        <w:rPr>
          <w:sz w:val="24"/>
          <w:szCs w:val="24"/>
        </w:rPr>
        <w:t>Экономика транспортной деятельности: Учеб. пособие / Под общ. ред. проф. Кононовой Г.А. / СПбГИЭА. – СПб., 1996.</w:t>
      </w:r>
    </w:p>
    <w:p w:rsidR="005B0772" w:rsidRPr="005B0772" w:rsidRDefault="005B0772">
      <w:pPr>
        <w:pStyle w:val="a5"/>
        <w:spacing w:line="288" w:lineRule="auto"/>
        <w:rPr>
          <w:spacing w:val="20"/>
          <w:sz w:val="24"/>
          <w:szCs w:val="24"/>
        </w:rPr>
      </w:pPr>
      <w:bookmarkStart w:id="4" w:name="_GoBack"/>
      <w:bookmarkEnd w:id="4"/>
    </w:p>
    <w:sectPr w:rsidR="005B0772" w:rsidRPr="005B0772">
      <w:footerReference w:type="default" r:id="rId9"/>
      <w:pgSz w:w="11906" w:h="16838" w:code="9"/>
      <w:pgMar w:top="1134" w:right="964" w:bottom="1134" w:left="1871" w:header="851" w:footer="113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96" w:rsidRDefault="00E32096">
      <w:pPr>
        <w:spacing w:line="240" w:lineRule="auto"/>
      </w:pPr>
      <w:r>
        <w:separator/>
      </w:r>
    </w:p>
  </w:endnote>
  <w:endnote w:type="continuationSeparator" w:id="0">
    <w:p w:rsidR="00E32096" w:rsidRDefault="00E32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72" w:rsidRDefault="005B0772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354CB">
      <w:rPr>
        <w:rStyle w:val="ac"/>
        <w:noProof/>
      </w:rPr>
      <w:t>2</w:t>
    </w:r>
    <w:r>
      <w:rPr>
        <w:rStyle w:val="ac"/>
      </w:rPr>
      <w:fldChar w:fldCharType="end"/>
    </w:r>
  </w:p>
  <w:p w:rsidR="005B0772" w:rsidRDefault="005B077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96" w:rsidRDefault="00E32096">
      <w:pPr>
        <w:spacing w:line="240" w:lineRule="auto"/>
      </w:pPr>
      <w:r>
        <w:separator/>
      </w:r>
    </w:p>
  </w:footnote>
  <w:footnote w:type="continuationSeparator" w:id="0">
    <w:p w:rsidR="00E32096" w:rsidRDefault="00E320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540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772"/>
    <w:rsid w:val="005B0772"/>
    <w:rsid w:val="008B3C95"/>
    <w:rsid w:val="00E32096"/>
    <w:rsid w:val="00F354CB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A4F7A7D5-A127-4D26-8E54-096A4CB7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88" w:lineRule="auto"/>
      <w:ind w:firstLine="720"/>
      <w:jc w:val="both"/>
    </w:pPr>
    <w:rPr>
      <w:rFonts w:ascii="Arial" w:hAnsi="Arial" w:cs="Arial"/>
      <w:spacing w:val="2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caps/>
      <w:kern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uppressAutoHyphens w:val="0"/>
      <w:spacing w:before="240" w:after="60" w:line="240" w:lineRule="auto"/>
      <w:ind w:firstLine="567"/>
      <w:outlineLvl w:val="2"/>
    </w:pPr>
    <w:rPr>
      <w:caps/>
      <w:spacing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pacing w:val="20"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i/>
      <w:iCs/>
      <w:caps/>
      <w:u w:val="single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spacing w:val="20"/>
      <w:kern w:val="28"/>
      <w:sz w:val="32"/>
      <w:szCs w:val="32"/>
    </w:rPr>
  </w:style>
  <w:style w:type="paragraph" w:customStyle="1" w:styleId="a5">
    <w:name w:val="Обычный ШИР"/>
    <w:basedOn w:val="a"/>
    <w:uiPriority w:val="99"/>
    <w:pPr>
      <w:spacing w:line="360" w:lineRule="auto"/>
    </w:pPr>
    <w:rPr>
      <w:spacing w:val="30"/>
    </w:rPr>
  </w:style>
  <w:style w:type="paragraph" w:customStyle="1" w:styleId="DENCE">
    <w:name w:val="ОбычныйDENCE"/>
    <w:basedOn w:val="a"/>
    <w:uiPriority w:val="99"/>
    <w:pPr>
      <w:spacing w:line="240" w:lineRule="auto"/>
      <w:ind w:firstLine="425"/>
    </w:pPr>
    <w:rPr>
      <w:spacing w:val="0"/>
      <w:sz w:val="24"/>
      <w:szCs w:val="24"/>
    </w:rPr>
  </w:style>
  <w:style w:type="paragraph" w:styleId="a6">
    <w:name w:val="footnote text"/>
    <w:basedOn w:val="a"/>
    <w:link w:val="a7"/>
    <w:uiPriority w:val="99"/>
    <w:semiHidden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rFonts w:ascii="Arial" w:hAnsi="Arial" w:cs="Arial"/>
      <w:spacing w:val="20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Arial" w:hAnsi="Arial" w:cs="Arial"/>
      <w:spacing w:val="20"/>
      <w:sz w:val="28"/>
      <w:szCs w:val="2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Arial" w:hAnsi="Arial" w:cs="Arial"/>
      <w:spacing w:val="20"/>
      <w:sz w:val="28"/>
      <w:szCs w:val="28"/>
    </w:rPr>
  </w:style>
  <w:style w:type="character" w:styleId="ac">
    <w:name w:val="page number"/>
    <w:uiPriority w:val="99"/>
  </w:style>
  <w:style w:type="paragraph" w:styleId="11">
    <w:name w:val="toc 1"/>
    <w:basedOn w:val="a"/>
    <w:next w:val="a"/>
    <w:autoRedefine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транспорта</vt:lpstr>
    </vt:vector>
  </TitlesOfParts>
  <Company>HOME STATION</Company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транспорта</dc:title>
  <dc:subject/>
  <dc:creator>FATHER</dc:creator>
  <cp:keywords/>
  <dc:description/>
  <cp:lastModifiedBy>admin</cp:lastModifiedBy>
  <cp:revision>2</cp:revision>
  <cp:lastPrinted>1999-04-26T18:58:00Z</cp:lastPrinted>
  <dcterms:created xsi:type="dcterms:W3CDTF">2014-02-17T15:57:00Z</dcterms:created>
  <dcterms:modified xsi:type="dcterms:W3CDTF">2014-02-17T15:57:00Z</dcterms:modified>
</cp:coreProperties>
</file>