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1A" w:rsidRDefault="00550B1A">
      <w:pPr>
        <w:pStyle w:val="4"/>
        <w:ind w:firstLine="567"/>
        <w:jc w:val="both"/>
        <w:rPr>
          <w:rFonts w:ascii="Arial" w:hAnsi="Arial" w:cs="Arial"/>
          <w:sz w:val="26"/>
        </w:rPr>
      </w:pPr>
      <w:r>
        <w:rPr>
          <w:rFonts w:ascii="Arial" w:hAnsi="Arial" w:cs="Arial"/>
          <w:sz w:val="26"/>
        </w:rPr>
        <w:t xml:space="preserve"> Экономика</w:t>
      </w:r>
    </w:p>
    <w:p w:rsidR="00550B1A" w:rsidRDefault="00E507C6">
      <w:pPr>
        <w:pStyle w:val="a3"/>
        <w:ind w:left="0" w:firstLine="567"/>
        <w:rPr>
          <w:sz w:val="26"/>
        </w:rPr>
      </w:pPr>
      <w:r>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mso-wrap-distance-left:6pt;mso-wrap-distance-right:6pt" o:bullet="t"/>
        </w:pict>
      </w:r>
      <w:r w:rsidR="00550B1A">
        <w:rPr>
          <w:sz w:val="26"/>
        </w:rPr>
        <w:tab/>
        <w:t>Эмираты располагают значительными запасами нефти (13,7 млрд.т.) и природного газа (5,6 трлн.куб.м.), крупными инвестициями иностранного капитала и резервными валютными средствами за рубежом (более 20 млрд.долл.). Падение мировых цен на нефть в 1998 не явилось угрозой для эмиратской экономики, поскольку в последние годы власти страны особое внимание обращали на развитие ненефтяного сектора.</w:t>
      </w:r>
    </w:p>
    <w:p w:rsidR="00550B1A" w:rsidRDefault="00E507C6">
      <w:pPr>
        <w:spacing w:before="100" w:beforeAutospacing="1" w:after="100" w:afterAutospacing="1" w:line="360" w:lineRule="auto"/>
        <w:ind w:firstLine="567"/>
        <w:jc w:val="both"/>
        <w:rPr>
          <w:sz w:val="26"/>
        </w:rPr>
      </w:pPr>
      <w:r>
        <w:rPr>
          <w:sz w:val="26"/>
        </w:rPr>
        <w:pict>
          <v:shape id="_x0000_i1026" type="#_x0000_t75" style="width:.75pt;height:.75pt;mso-wrap-distance-left:6pt;mso-wrap-distance-right:6pt" o:bullet="t"/>
        </w:pict>
      </w:r>
      <w:r w:rsidR="00550B1A">
        <w:rPr>
          <w:sz w:val="26"/>
        </w:rPr>
        <w:tab/>
      </w:r>
      <w:r>
        <w:rPr>
          <w:sz w:val="26"/>
        </w:rPr>
        <w:pict>
          <v:shape id="_x0000_i1027" type="#_x0000_t75" style="width:.75pt;height:.75pt;mso-wrap-distance-left:6pt;mso-wrap-distance-right:6pt"/>
        </w:pict>
      </w:r>
      <w:r w:rsidR="00550B1A">
        <w:rPr>
          <w:sz w:val="26"/>
        </w:rPr>
        <w:t>Страна имеет сбалансированный бюджет, расходная часть которого на 1999 г. составляет 6,2 млрд.долл., доходная часть – 5,5 млрд.долл. при дефиците бюджета 3%. По сравнению с 1998 г. доходная часть возросла на 4%, расходная – на 7%, что привело к росту дефицита на 200 млн.долл. Увеличение расходной части обусловлено возрастанием расходов на оборону (1,6 млрд.долл., или 26% бюджета), а также расходов на социальные нужды, в первую очередь на строительство бесплатного жилья для жителей коренной национальности (1,22 млрд.долл.).</w:t>
      </w:r>
    </w:p>
    <w:p w:rsidR="00550B1A" w:rsidRDefault="00E507C6">
      <w:pPr>
        <w:spacing w:before="100" w:beforeAutospacing="1" w:after="100" w:afterAutospacing="1" w:line="360" w:lineRule="auto"/>
        <w:ind w:firstLine="567"/>
        <w:jc w:val="both"/>
        <w:rPr>
          <w:sz w:val="26"/>
        </w:rPr>
      </w:pPr>
      <w:r>
        <w:rPr>
          <w:sz w:val="26"/>
        </w:rPr>
        <w:pict>
          <v:shape id="_x0000_i1028" type="#_x0000_t75" style="width:.75pt;height:.75pt;mso-wrap-distance-left:6pt;mso-wrap-distance-right:6pt" o:bullet="t"/>
        </w:pict>
      </w:r>
      <w:r>
        <w:rPr>
          <w:sz w:val="26"/>
        </w:rPr>
        <w:pict>
          <v:shape id="_x0000_i1029" type="#_x0000_t75" style="width:.75pt;height:.75pt;mso-wrap-distance-left:6pt;mso-wrap-distance-right:6pt"/>
        </w:pict>
      </w:r>
      <w:r w:rsidR="00550B1A">
        <w:rPr>
          <w:sz w:val="26"/>
        </w:rPr>
        <w:t>ВВП составил в 1998 г. 48 млрд.долл. (доля нефти – 30%). В результате крупных капвложений в последние годы в структуре ВВП растет доля торговли и туризма – 12%, строительства – 10%, обрабатывающей промышлености – 8,3%, транспорта – 7,2%, электроэнергетики и водоснабжения – 3%, сельского хозяйства и рыболовства – 2%.</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30" type="#_x0000_t75" style="width:.75pt;height:.75pt;mso-wrap-distance-left:6pt;mso-wrap-distance-right:6pt" o:bullet="t"/>
        </w:pict>
      </w:r>
      <w:r>
        <w:rPr>
          <w:sz w:val="26"/>
        </w:rPr>
        <w:pict>
          <v:shape id="_x0000_i1031" type="#_x0000_t75" style="width:.75pt;height:.75pt;mso-wrap-distance-left:6pt;mso-wrap-distance-right:6pt"/>
        </w:pict>
      </w:r>
      <w:r w:rsidR="00550B1A">
        <w:rPr>
          <w:sz w:val="26"/>
        </w:rPr>
        <w:t>В 1998 г. замедление темпов роста ВВП продолжалось. Если в 1997 г. они составили 1% по сравнению с 9% в среднем в год в предыдущее пятилетие, то в 1998 г. ВВП снизился на 5,6%. По уровню дохода на душу населения – 17 тыс.долл. в год ОАЭ находятся на одном из ведущих мест в мире. По данным инвестбанка «Мерил Линч», в ОАЭ 78 тыс. миллионеров, суммарное состояние которых составляет 160 млрд.долл. 1 долл. = 3,67 дирхам, фиксированный курс.</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32" type="#_x0000_t75" style="width:.75pt;height:.75pt;mso-wrap-distance-left:6pt;mso-wrap-distance-right:6pt" o:bullet="t"/>
        </w:pict>
      </w:r>
      <w:r>
        <w:rPr>
          <w:sz w:val="26"/>
        </w:rPr>
        <w:pict>
          <v:shape id="_x0000_i1033" type="#_x0000_t75" style="width:.75pt;height:.75pt;mso-wrap-distance-left:6pt;mso-wrap-distance-right:6pt"/>
        </w:pict>
      </w:r>
      <w:r w:rsidR="00550B1A">
        <w:rPr>
          <w:sz w:val="26"/>
        </w:rPr>
        <w:t>Основной причиной снижения темпов экономического роста стало снижение цен на сырую нефть на мировом рынке. Несмотря на это ненефтяные отрасли экономики ОАЭ продолжали ускоренно развиваться, что свидетельствует об ослаблении зависимости экономики страны от экспорта сырой нефти, Темпы прироста ВВП ненефтяных отраслей в 1998г. составили 6,5%.</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34" type="#_x0000_t75" style="width:.75pt;height:.75pt;mso-wrap-distance-left:6pt;mso-wrap-distance-right:6pt" o:bullet="t"/>
        </w:pict>
      </w:r>
      <w:r>
        <w:rPr>
          <w:sz w:val="26"/>
        </w:rPr>
        <w:pict>
          <v:shape id="_x0000_i1035" type="#_x0000_t75" style="width:.75pt;height:.75pt;mso-wrap-distance-left:6pt;mso-wrap-distance-right:6pt"/>
        </w:pict>
      </w:r>
      <w:r w:rsidR="00550B1A">
        <w:rPr>
          <w:sz w:val="26"/>
        </w:rPr>
        <w:t>Платежный баланс ОАЭ характеризуется положительным сальдо —5,6 млрд.долл. в 1997 г. и 5,0 млрд.долл. в 1998 г. Основным фактором, обусловившим положительное сальдо текущего баланса, были доходы от экспорта нефти – 12,6 млрд.долл. в 1998 г. (14 млрд.долл. в 1997 г.), а также поступления от инвестиций за рубежом (9 млрд.долл.). Госбюджет составил в 1998 г. 20 млрд.долл. ОАЭ – нетто-экспортер капитала: ежегодный вывоза капитала составляет около 6 млрд.долл., сальдо текущих платежей в 1997 г. составило 327 млн.долл. Общий объем инвестиций в экономику страны в 1998 г. составил 13,4 млрд.долл., из них 47%приходилось на частный сектор.</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36" type="#_x0000_t75" style="width:.75pt;height:.75pt;mso-wrap-distance-left:6pt;mso-wrap-distance-right:6pt" o:bullet="t"/>
        </w:pict>
      </w:r>
      <w:r>
        <w:rPr>
          <w:sz w:val="26"/>
        </w:rPr>
        <w:pict>
          <v:shape id="_x0000_i1037" type="#_x0000_t75" style="width:.75pt;height:.75pt;mso-wrap-distance-left:6pt;mso-wrap-distance-right:6pt"/>
        </w:pict>
      </w:r>
      <w:r w:rsidR="00550B1A">
        <w:rPr>
          <w:sz w:val="26"/>
        </w:rPr>
        <w:t>Эмират Абу-Даби намерен инвестировать в течение ближайших 5 лет 7 млрд.долл. в развитие нефтяной и нефтеперерабатывающей промышленности и 18 млрд.долл. в ненефтяные отрасли, в том числе 39% – в электроэнергетику и водоснабжение, 27% – транспорт и коммуникации, 13% – коммунальные службы, 9%— жилищное строительство, 3% – с/х объекты. Основной объем инвестиций предусматривается осуществить за счет средств частного сектора.</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38" type="#_x0000_t75" style="width:.75pt;height:.75pt;mso-wrap-distance-left:6pt;mso-wrap-distance-right:6pt" o:bullet="t"/>
        </w:pict>
      </w:r>
      <w:r>
        <w:rPr>
          <w:sz w:val="26"/>
        </w:rPr>
        <w:pict>
          <v:shape id="_x0000_i1039" type="#_x0000_t75" style="width:.75pt;height:.75pt;mso-wrap-distance-left:6pt;mso-wrap-distance-right:6pt"/>
        </w:pict>
      </w:r>
      <w:r w:rsidR="00550B1A">
        <w:rPr>
          <w:i/>
          <w:iCs/>
          <w:sz w:val="26"/>
        </w:rPr>
        <w:t xml:space="preserve">Перерабатывающая промышленность </w:t>
      </w:r>
      <w:r w:rsidR="00550B1A">
        <w:rPr>
          <w:sz w:val="26"/>
        </w:rPr>
        <w:t>представлена Дубайским алюминиевым заводом (мощностью 400 тыс.т. в год), сухим доком, 3 предприятиями по производству кабеля (20 тыс.т. в год), цементными заводами (8 млн.т. в год), многочисленными предприятиями текстильной и пищевой промышленности, небольшими заводами по производству сталепроката, труб и красок (130 тыс.т.), стройматериалов.</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40" type="#_x0000_t75" style="width:.75pt;height:.75pt;mso-wrap-distance-left:6pt;mso-wrap-distance-right:6pt" o:bullet="t"/>
        </w:pict>
      </w:r>
      <w:r>
        <w:rPr>
          <w:sz w:val="26"/>
        </w:rPr>
        <w:pict>
          <v:shape id="_x0000_i1041" type="#_x0000_t75" style="width:.75pt;height:.75pt;mso-wrap-distance-left:6pt;mso-wrap-distance-right:6pt"/>
        </w:pict>
      </w:r>
      <w:r w:rsidR="00550B1A">
        <w:rPr>
          <w:sz w:val="26"/>
        </w:rPr>
        <w:t>Госпромкорпорация Абу-Даби начала строительство в Тавиле сталепрокатного завода мощностью 500 тыс.т. (в основном стройарматуры) в год и стоимостью 100 млн. долл. Объем импорта стального проката в ОАЭ составляет 600 тыс. т., в год, в основном из Турции и Катара. Местное производство (9 небольших сталепрокатных цехов) в 120 тыс. т. в год удовлетворяет внутренний спрос только на 10-15%.</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42" type="#_x0000_t75" style="width:.75pt;height:.75pt;mso-wrap-distance-left:6pt;mso-wrap-distance-right:6pt" o:bullet="t"/>
        </w:pict>
      </w:r>
      <w:r>
        <w:rPr>
          <w:sz w:val="26"/>
        </w:rPr>
        <w:pict>
          <v:shape id="_x0000_i1043" type="#_x0000_t75" style="width:.75pt;height:.75pt;mso-wrap-distance-left:6pt;mso-wrap-distance-right:6pt"/>
        </w:pict>
      </w:r>
      <w:r w:rsidR="00550B1A">
        <w:rPr>
          <w:i/>
          <w:iCs/>
          <w:sz w:val="26"/>
        </w:rPr>
        <w:t>Сельское хозяйство.</w:t>
      </w:r>
      <w:r w:rsidR="00550B1A">
        <w:rPr>
          <w:sz w:val="26"/>
        </w:rPr>
        <w:t>Несмотря на неблагоприятные природные условия, число с/х ферм превысило в 1998 г. 22 тыс.т., урожай овощей – 350 тыс. т. (50%внутренних потребностей), фруктов – 450 тыс. т. (50 %). С20 млн. пальм сбор фиников составляет 230 тыс. т. в год. Количество голов крупного и мелкого домашнего скота достигло 1,2 млн.т., производство мяса – 30 тыс. т. в год (30% потребностей), молока – 85 тыс. т. (70%), яиц – 218 млн. шт. (40%), улов рыбы – 100 тыс. т.</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44" type="#_x0000_t75" style="width:.75pt;height:.75pt;mso-wrap-distance-left:6pt;mso-wrap-distance-right:6pt" o:bullet="t"/>
        </w:pict>
      </w:r>
      <w:r>
        <w:rPr>
          <w:sz w:val="26"/>
        </w:rPr>
        <w:pict>
          <v:shape id="_x0000_i1045" type="#_x0000_t75" style="width:.75pt;height:.75pt;mso-wrap-distance-left:6pt;mso-wrap-distance-right:6pt"/>
        </w:pict>
      </w:r>
      <w:r w:rsidR="00550B1A">
        <w:rPr>
          <w:i/>
          <w:iCs/>
          <w:sz w:val="26"/>
        </w:rPr>
        <w:t>Электроэнергетика.</w:t>
      </w:r>
      <w:r w:rsidR="00550B1A">
        <w:rPr>
          <w:sz w:val="26"/>
        </w:rPr>
        <w:t>Установленные мощности по производству электроэнергии в ОАЭ составляют 6 тыс.мвт. Ведется строительство ряда новых ТЭС, что позволит довести мощности до 8 тыс.мвт. Более двух третей потребления пресной воды в стране обеспечивается за счет опреснения морской воды. Мощности по опреснению (475 млн. куб.м. в год) обычно совмещены с ТЭС.</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46" type="#_x0000_t75" style="width:.75pt;height:.75pt;mso-wrap-distance-left:6pt;mso-wrap-distance-right:6pt" o:bullet="t"/>
        </w:pict>
      </w:r>
      <w:r>
        <w:rPr>
          <w:sz w:val="26"/>
        </w:rPr>
        <w:pict>
          <v:shape id="_x0000_i1047" type="#_x0000_t75" style="width:.75pt;height:.75pt;mso-wrap-distance-left:6pt;mso-wrap-distance-right:6pt"/>
        </w:pict>
      </w:r>
      <w:r w:rsidR="00550B1A">
        <w:rPr>
          <w:sz w:val="26"/>
        </w:rPr>
        <w:t>Намечено строительство ТЭС «Тавиля А-2» на 710 мвт. и 50 млн. галлонов опресненной воды в день. В рамках программы приватизации впервые в эмирате Абу-Даби указанная ТЭС будет принадлежать на 40% иностр. компании – СиЭмЭс (США). Стоимость строительства составит 650 млн. долл., из которых две трети будет финансироваться за счет заемных средств, а треть – за счет владельцев, т.е. правительства Абу-Даби и американской компании. Контракт на ее строительство подписан с консорциумом «Сименс» и корейской компании «Ханжюн».</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48" type="#_x0000_t75" style="width:.75pt;height:.75pt;mso-wrap-distance-left:6pt;mso-wrap-distance-right:6pt" o:bullet="t"/>
        </w:pict>
      </w:r>
      <w:r>
        <w:rPr>
          <w:sz w:val="26"/>
        </w:rPr>
        <w:pict>
          <v:shape id="_x0000_i1049" type="#_x0000_t75" style="width:.75pt;height:.75pt;mso-wrap-distance-left:6pt;mso-wrap-distance-right:6pt"/>
        </w:pict>
      </w:r>
      <w:r w:rsidR="00550B1A">
        <w:rPr>
          <w:sz w:val="26"/>
        </w:rPr>
        <w:t>Вторая крупная электростанция мощностью 500 мвт. будет строиться в Рувейсе немецко-швейцарской компанией АББ. Имеются планы строительства ТЭС Зибая мощностью 1000 мвт. в западном регионе страны.</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50" type="#_x0000_t75" style="width:.75pt;height:.75pt;mso-wrap-distance-left:6pt;mso-wrap-distance-right:6pt" o:bullet="t"/>
        </w:pict>
      </w:r>
      <w:r>
        <w:rPr>
          <w:sz w:val="26"/>
        </w:rPr>
        <w:pict>
          <v:shape id="_x0000_i1051" type="#_x0000_t75" style="width:.75pt;height:.75pt;mso-wrap-distance-left:6pt;mso-wrap-distance-right:6pt"/>
        </w:pict>
      </w:r>
      <w:r w:rsidR="00550B1A">
        <w:rPr>
          <w:sz w:val="26"/>
        </w:rPr>
        <w:t>Правительство Шарджи обнародовало планы инвестиций в энергетическую отрасль на 316 млн. долл., – установка двух новых турбин мощностью по 60 мвт, строительство подстанций и линий электропередач. Планы эмирата Дубай на 2000-02 гг. предусматривают переоснащение существующей ТЭС в Джебель-Али с увеличением ее мощности на 400 мвт., а также строительство нескольких крупных подстанций.</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52" type="#_x0000_t75" style="width:.75pt;height:.75pt;mso-wrap-distance-left:6pt;mso-wrap-distance-right:6pt" o:bullet="t"/>
        </w:pict>
      </w:r>
      <w:r>
        <w:rPr>
          <w:sz w:val="26"/>
        </w:rPr>
        <w:pict>
          <v:shape id="_x0000_i1053" type="#_x0000_t75" style="width:.75pt;height:.75pt;mso-wrap-distance-left:6pt;mso-wrap-distance-right:6pt"/>
        </w:pict>
      </w:r>
      <w:r w:rsidR="00550B1A">
        <w:rPr>
          <w:sz w:val="26"/>
        </w:rPr>
        <w:t>В стране выставляются на тендеры целый ряд проектов, участие в реализации которых было бы интересно российским организациям: Госпромкорпорация Абу-Даби(ГПК) объявила о планах создания в Абу-Даби алюминиевого завода, второго по счету в ОАЭ после дубайского. Планируемая мощность завода – 220 тыс.т. в год. Комплекс завода будет также включать ТЭС и опреснительную установку. Завод будет находиться в совместной собственности ГПК и иностранного участника.</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54" type="#_x0000_t75" style="width:.75pt;height:.75pt;mso-wrap-distance-left:6pt;mso-wrap-distance-right:6pt" o:bullet="t"/>
        </w:pict>
      </w:r>
      <w:r>
        <w:rPr>
          <w:sz w:val="26"/>
        </w:rPr>
        <w:pict>
          <v:shape id="_x0000_i1055" type="#_x0000_t75" style="width:.75pt;height:.75pt;mso-wrap-distance-left:6pt;mso-wrap-distance-right:6pt"/>
        </w:pict>
      </w:r>
      <w:r w:rsidR="00550B1A">
        <w:rPr>
          <w:sz w:val="26"/>
        </w:rPr>
        <w:t>Согласно перспективным планам Департамента воды и электричества эмирата Абу-Даби на пятилетку, установленные мощности по производству электроэнергии в эмирате будут наращены с существующего уровня 3453 мвт. до 4110 мвт., а мощность опреснительных установок – с 271 млн. до 503 млн. галл. в день.</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56" type="#_x0000_t75" style="width:.75pt;height:.75pt;mso-wrap-distance-left:6pt;mso-wrap-distance-right:6pt" o:bullet="t"/>
        </w:pict>
      </w:r>
      <w:r>
        <w:rPr>
          <w:sz w:val="26"/>
        </w:rPr>
        <w:pict>
          <v:shape id="_x0000_i1057" type="#_x0000_t75" style="width:.75pt;height:.75pt;mso-wrap-distance-left:6pt;mso-wrap-distance-right:6pt"/>
        </w:pict>
      </w:r>
      <w:r w:rsidR="00550B1A">
        <w:rPr>
          <w:sz w:val="26"/>
        </w:rPr>
        <w:t>Утвержденные правительством Абу-Даби планы предусматривают финансирование: расширения ТЭС «Тавиля-А» (+500 мвт. и 50 млн. галлонов в день, завершение —2001 г.); строительства «Тавиля-С» (завершение – 2004 г., на 750 мвт. и 75 млн. г/д); строительства двух новых ТЭС в Джебель-Данна, газотурбинной (завершение – 2000 г., 140 мвт. и 25 млн. г/д) и паротурбинной (300 мвт. и 30 млн. г/д); расширения ТЭС и опреснителя в Мирфа в два этапа – на 450 мвт. и 25 млн. г/д и на 250 мвт. и 25 млн. г/д); строительства второй ветки водовода «Тавиля-А»-Аль-Айн; расширение опреснительных мощностей в Ум-Аль-Нар; ЛЭП Тавиля-Рувейс и Тавиля-Силаа.</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58" type="#_x0000_t75" style="width:.75pt;height:.75pt;mso-wrap-distance-left:6pt;mso-wrap-distance-right:6pt" o:bullet="t"/>
        </w:pict>
      </w:r>
      <w:r>
        <w:rPr>
          <w:sz w:val="26"/>
        </w:rPr>
        <w:pict>
          <v:shape id="_x0000_i1059" type="#_x0000_t75" style="width:.75pt;height:.75pt;mso-wrap-distance-left:6pt;mso-wrap-distance-right:6pt"/>
        </w:pict>
      </w:r>
      <w:r w:rsidR="00550B1A">
        <w:rPr>
          <w:sz w:val="26"/>
        </w:rPr>
        <w:t>Поворот в политике правительства Абу-Даби в сторону приватизации сферы электроэнергетики и опреснения воды был благоприятно принят западными компаниями, которых устраивает принцип частичного (40%) владения строящимися ТЭС и опреснителями наряду с правительством Абу-Даби (60%), поскольку им обеспечен легкий доступ к кредитным ресурсам западных банков, а также гарантирована покупка производимой электроэнергии и воды государством. Так, строительство нового комплекса ТЭС и опреснителя в Тавиле будет финансироваться американской корпорацией СиЭмЭс на 75% за счет кредитов местных арабских банков и банка «Барклайз». Французская компания «Тоталь» предлагает Управлению электричества и воды Абу-Даби строительство новой электростанции стоимостью 1 млрд.долл. на тех же условиях. Однако для российских компаний условие частичного владения представляется на данном этапе неприемлемым. Автоматически они выбывают из списка возможных претендентов на роль генподрядчика при строительстве такого рода объектов.</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60" type="#_x0000_t75" style="width:.75pt;height:.75pt;mso-wrap-distance-left:6pt;mso-wrap-distance-right:6pt" o:bullet="t"/>
        </w:pict>
      </w:r>
      <w:r>
        <w:rPr>
          <w:sz w:val="26"/>
        </w:rPr>
        <w:pict>
          <v:shape id="_x0000_i1061" type="#_x0000_t75" style="width:.75pt;height:.75pt;mso-wrap-distance-left:6pt;mso-wrap-distance-right:6pt"/>
        </w:pict>
      </w:r>
      <w:r w:rsidR="00550B1A">
        <w:rPr>
          <w:i/>
          <w:iCs/>
          <w:sz w:val="26"/>
        </w:rPr>
        <w:t>Транспорт и связь.</w:t>
      </w:r>
      <w:r w:rsidR="00550B1A">
        <w:rPr>
          <w:sz w:val="26"/>
        </w:rPr>
        <w:t>Крупнейшие морпорты находятся в Дубае (порт Рашид и Джебель Али), Абу-Даби, Шардже и на побережье Индийского океана – Фуджейра и Хорфакан. Нефть отгружается со специальных терминалов (крупнейшие – жебел-Дханна и о-в Дас). Имеется 6 межд. аэропортов. Эмират Абу-Даби намерен инвестировать до 2013 г. 1 млрд.долл. в расширение существующего морпорта Заид и постройку нового порта в районе индустриальной зоны Тавиля, в 80 км от Абу-Даби.</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62" type="#_x0000_t75" style="width:.75pt;height:.75pt;mso-wrap-distance-left:6pt;mso-wrap-distance-right:6pt" o:bullet="t"/>
        </w:pict>
      </w:r>
      <w:r>
        <w:rPr>
          <w:sz w:val="26"/>
        </w:rPr>
        <w:pict>
          <v:shape id="_x0000_i1063" type="#_x0000_t75" style="width:.75pt;height:.75pt;mso-wrap-distance-left:6pt;mso-wrap-distance-right:6pt"/>
        </w:pict>
      </w:r>
      <w:r w:rsidR="00550B1A">
        <w:rPr>
          <w:sz w:val="26"/>
        </w:rPr>
        <w:t>Телефонная сеть страны расчитана на 800 тыс. номеров кроме того, есть 100 тыс. мобильных телефонов. Телекоммуникационная корпорация ОАЭ («Этисалят») является учредителем межд. консорциума «Сорея», который намерен иметь к 2000 г. спутник для мобильной телефонной связи.</w:t>
      </w:r>
    </w:p>
    <w:p w:rsidR="00550B1A" w:rsidRDefault="00E507C6">
      <w:pPr>
        <w:tabs>
          <w:tab w:val="num" w:pos="720"/>
        </w:tabs>
        <w:spacing w:before="100" w:beforeAutospacing="1" w:after="100" w:afterAutospacing="1" w:line="360" w:lineRule="auto"/>
        <w:ind w:firstLine="567"/>
        <w:jc w:val="both"/>
        <w:rPr>
          <w:sz w:val="26"/>
        </w:rPr>
      </w:pPr>
      <w:r>
        <w:rPr>
          <w:sz w:val="26"/>
        </w:rPr>
        <w:pict>
          <v:shape id="_x0000_i1064" type="#_x0000_t75" style="width:.75pt;height:.75pt;mso-wrap-distance-left:6pt;mso-wrap-distance-right:6pt" o:bullet="t"/>
        </w:pict>
      </w:r>
      <w:r>
        <w:rPr>
          <w:sz w:val="26"/>
        </w:rPr>
        <w:pict>
          <v:shape id="_x0000_i1065" type="#_x0000_t75" style="width:.75pt;height:.75pt;mso-wrap-distance-left:6pt;mso-wrap-distance-right:6pt"/>
        </w:pict>
      </w:r>
      <w:r w:rsidR="00550B1A">
        <w:rPr>
          <w:sz w:val="26"/>
        </w:rPr>
        <w:t>У «Сорея» есть проект запуска и эксплуатации еще двух спутников связи общей стоимостью 1 млрд.долл., срок реализации —2000 г. Контракт на изготовление спутника подписан с американской компанией «Хьюз». Он предусматривает опцион третьего спутника, а также выбор ракеты-носителя самой компанией «Сорея».</w:t>
      </w: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ind w:firstLine="567"/>
        <w:jc w:val="both"/>
        <w:rPr>
          <w:sz w:val="26"/>
        </w:rPr>
      </w:pPr>
    </w:p>
    <w:p w:rsidR="00550B1A" w:rsidRDefault="00550B1A">
      <w:pPr>
        <w:pStyle w:val="4"/>
        <w:spacing w:line="360" w:lineRule="auto"/>
        <w:ind w:firstLine="567"/>
        <w:jc w:val="both"/>
        <w:rPr>
          <w:rFonts w:ascii="Arial" w:hAnsi="Arial" w:cs="Arial"/>
          <w:sz w:val="26"/>
          <w:lang w:val="en-US"/>
        </w:rPr>
      </w:pPr>
    </w:p>
    <w:p w:rsidR="00550B1A" w:rsidRDefault="00550B1A">
      <w:pPr>
        <w:pStyle w:val="4"/>
        <w:spacing w:line="360" w:lineRule="auto"/>
        <w:ind w:firstLine="567"/>
        <w:jc w:val="both"/>
        <w:rPr>
          <w:rFonts w:ascii="Arial" w:hAnsi="Arial" w:cs="Arial"/>
          <w:sz w:val="26"/>
        </w:rPr>
      </w:pPr>
      <w:r>
        <w:rPr>
          <w:rFonts w:ascii="Arial" w:hAnsi="Arial" w:cs="Arial"/>
          <w:sz w:val="26"/>
        </w:rPr>
        <w:t>Нефть</w:t>
      </w:r>
    </w:p>
    <w:p w:rsidR="00550B1A" w:rsidRDefault="00E507C6">
      <w:pPr>
        <w:tabs>
          <w:tab w:val="num" w:pos="-360"/>
        </w:tabs>
        <w:spacing w:beforeAutospacing="1" w:afterAutospacing="1" w:line="360" w:lineRule="auto"/>
        <w:ind w:firstLine="567"/>
        <w:jc w:val="both"/>
        <w:rPr>
          <w:sz w:val="26"/>
        </w:rPr>
      </w:pPr>
      <w:r>
        <w:rPr>
          <w:sz w:val="26"/>
        </w:rPr>
        <w:pict>
          <v:shape id="_x0000_i1066" type="#_x0000_t75" style="width:.75pt;height:.75pt;mso-wrap-distance-left:6pt;mso-wrap-distance-right:6pt" o:bullet="t"/>
        </w:pict>
      </w:r>
      <w:r w:rsidR="00550B1A">
        <w:rPr>
          <w:sz w:val="26"/>
        </w:rPr>
        <w:tab/>
        <w:t>Н</w:t>
      </w:r>
      <w:r w:rsidR="00550B1A">
        <w:rPr>
          <w:i/>
          <w:iCs/>
          <w:sz w:val="26"/>
        </w:rPr>
        <w:t xml:space="preserve">ефтедобывающая промышленость. </w:t>
      </w:r>
      <w:r w:rsidR="00550B1A">
        <w:rPr>
          <w:sz w:val="26"/>
        </w:rPr>
        <w:t>Подтвержденные запасы нефти составляют 100 млрд. барр. (около 10 % мировых запасов), в т.ч. в эмирате Абу-Даби – 98 млрд.барр.; извлекаемые запасы – 60 млрд. барр. Мощности нефтедобывающей промышленности составляют 2,5 млн. барр/день (в т.ч. Абу-Даби – 2,3 млн.б/д). ОАЭ являются членом ОПЭК и придерживаются установленной квоты в размере 2,1 млн. б/д. В рамках указанной квоты уровень нефтедобычи в эмирате Абу-Даби составляет 1,8 млн. б/д, в Дубае – 320 тыс. б/д, остальной объем приходится на Шарджу и Рас-Аль-Хайму.</w:t>
      </w:r>
      <w:r w:rsidR="00550B1A">
        <w:rPr>
          <w:sz w:val="26"/>
        </w:rPr>
        <w:br/>
      </w:r>
      <w:r>
        <w:rPr>
          <w:sz w:val="26"/>
        </w:rPr>
        <w:pict>
          <v:shape id="_x0000_i1067" type="#_x0000_t75" style="width:.75pt;height:.75pt;mso-wrap-distance-left:6pt;mso-wrap-distance-right:6pt"/>
        </w:pict>
      </w:r>
      <w:r w:rsidR="00550B1A">
        <w:rPr>
          <w:sz w:val="26"/>
        </w:rPr>
        <w:t>Запасы газа составляют 6,2 трлн.куб.м., производство попутного газа – 50 млрд.куб.м. в год. Основной объем добычи газа используется для производства электроэнергии. Кроме того, производится сжиженный попутный газ (5 млн.т. в 1998 г.), экспортируемый главным образом в Японию.</w:t>
      </w:r>
    </w:p>
    <w:p w:rsidR="00550B1A" w:rsidRDefault="00E507C6">
      <w:pPr>
        <w:tabs>
          <w:tab w:val="num" w:pos="-360"/>
        </w:tabs>
        <w:spacing w:beforeAutospacing="1" w:afterAutospacing="1" w:line="360" w:lineRule="auto"/>
        <w:ind w:firstLine="567"/>
        <w:jc w:val="both"/>
        <w:rPr>
          <w:sz w:val="26"/>
        </w:rPr>
      </w:pPr>
      <w:r>
        <w:rPr>
          <w:sz w:val="26"/>
        </w:rPr>
        <w:pict>
          <v:shape id="_x0000_i1068" type="#_x0000_t75" style="width:.75pt;height:.75pt;mso-wrap-distance-left:6pt;mso-wrap-distance-right:6pt" o:bullet="t"/>
        </w:pict>
      </w:r>
      <w:r w:rsidR="00550B1A">
        <w:rPr>
          <w:sz w:val="26"/>
        </w:rPr>
        <w:tab/>
      </w:r>
      <w:r>
        <w:rPr>
          <w:sz w:val="26"/>
        </w:rPr>
        <w:pict>
          <v:shape id="_x0000_i1069" type="#_x0000_t75" style="width:.75pt;height:.75pt;mso-wrap-distance-left:6pt;mso-wrap-distance-right:6pt"/>
        </w:pict>
      </w:r>
      <w:r w:rsidR="00550B1A">
        <w:rPr>
          <w:i/>
          <w:iCs/>
          <w:sz w:val="26"/>
        </w:rPr>
        <w:t xml:space="preserve">Нефтеперерабатывающая промышленность </w:t>
      </w:r>
      <w:r w:rsidR="00550B1A">
        <w:rPr>
          <w:sz w:val="26"/>
        </w:rPr>
        <w:t>представлена двумя НПЗ в эмирате Абу-Даби – в Рувейсе (мощностью 150 тыс.т. в год) и Умм-ан-Наре (85 тыс.). Подготовлены планы строительства НПЗ в Шардже, Джебель-Али (эмират Дубай), Рас-эль-Хайме, Фуджейре расширения вдвое мощности НПЗ в Рувейсе. На нефтяном и газовом сырье работают также заводы по производству карбамида и аммиака (500 и 330 тыс.т. в год – завод в Рувейсе и 30 тыс.т. карбамида в год – завод в Джебель-Али), а также мощности по производству серы (750 т. в сутки), заводы по производству масел и смазок. Внутреннее потребление нефтепродуктов в ОАЭ составляет 160 тыс. б/д.</w:t>
      </w:r>
      <w:r>
        <w:rPr>
          <w:sz w:val="26"/>
        </w:rPr>
        <w:pict>
          <v:shape id="_x0000_i1070" type="#_x0000_t75" style="width:.75pt;height:.75pt;mso-wrap-distance-left:6pt;mso-wrap-distance-right:6pt" o:bullet="t"/>
        </w:pict>
      </w:r>
      <w:r>
        <w:rPr>
          <w:sz w:val="26"/>
        </w:rPr>
        <w:pict>
          <v:shape id="_x0000_i1071" type="#_x0000_t75" style="width:.75pt;height:.75pt;mso-wrap-distance-left:6pt;mso-wrap-distance-right:6pt"/>
        </w:pict>
      </w:r>
      <w:r w:rsidR="00550B1A">
        <w:rPr>
          <w:sz w:val="26"/>
        </w:rPr>
        <w:t>По размерам подтвержденных запасов нефти ОАЭ занимают третье место в мире после Саудовской Аравии и Ирака. Подавляющая часть запасов нефти ОАЭ приходится на Абу-Даби. Дубай в большей степени ориентируется на развитие торговли и туризма, а также на частные финансовые ресурсы, чем Абу-Даби. Национальная нефтекомпания Абу-Даби «Аднок» подписала контракт с франц. компанией «Текнип» и британским отделением «Бехтель» стоимостью 1,2 млрд.долл. по расширению одного из крупнейших газовых месторождений страны. Срок реализации —30 мес., проектант – «Притчард», субконтракт на общестроительные работы получила «Консолидейтед Контракторз». Этот проект, позволяющий «Аднок» увеличить добычу газа на 1000 куб.футов, предусматривает сооружение газосборной станции, двух сепарационных установок, завода по обработке газа, установки по сбору сжиженного попутного газа и серы, газокомпрессионной станции, газопроводов.</w:t>
      </w:r>
      <w:r>
        <w:rPr>
          <w:sz w:val="26"/>
        </w:rPr>
        <w:pict>
          <v:shape id="_x0000_i1072" type="#_x0000_t75" style="width:.75pt;height:.75pt;mso-wrap-distance-left:6pt;mso-wrap-distance-right:6pt" o:bullet="t"/>
        </w:pict>
      </w:r>
      <w:r>
        <w:rPr>
          <w:sz w:val="26"/>
        </w:rPr>
        <w:pict>
          <v:shape id="_x0000_i1073" type="#_x0000_t75" style="width:.75pt;height:.75pt;mso-wrap-distance-left:6pt;mso-wrap-distance-right:6pt"/>
        </w:pict>
      </w:r>
      <w:r w:rsidR="00550B1A">
        <w:rPr>
          <w:sz w:val="26"/>
        </w:rPr>
        <w:t>Второй по значению проект-развитие газового месторождения Хуф, контракт на реализацию которого стоимостью 850 млн.долл. подписан с норвежской фирмой «Квернер». Планируемый обьем производства газа – около 1 млрд.куб.футов в год. Аналогичные размеры имеет и проект второй очереди развития газового месторождения Баб, срок реализации – 1999-2000 г.</w:t>
      </w:r>
    </w:p>
    <w:p w:rsidR="00550B1A" w:rsidRDefault="00E507C6">
      <w:pPr>
        <w:tabs>
          <w:tab w:val="num" w:pos="-360"/>
        </w:tabs>
        <w:spacing w:beforeAutospacing="1" w:afterAutospacing="1" w:line="360" w:lineRule="auto"/>
        <w:ind w:firstLine="567"/>
        <w:jc w:val="both"/>
        <w:rPr>
          <w:sz w:val="26"/>
        </w:rPr>
      </w:pPr>
      <w:r>
        <w:rPr>
          <w:sz w:val="26"/>
        </w:rPr>
        <w:pict>
          <v:shape id="_x0000_i1074" type="#_x0000_t75" style="width:.75pt;height:.75pt;mso-wrap-distance-left:6pt;mso-wrap-distance-right:6pt"/>
        </w:pict>
      </w:r>
      <w:r w:rsidR="00550B1A">
        <w:rPr>
          <w:sz w:val="26"/>
        </w:rPr>
        <w:t>В планах «Аднок» – расширение нефтехимического комплекса в г.Рувейс. Стоимость первой очереди, включающей сооружение газоконденсатоперерабатывающего завода на 135 тыс.б/д и продуктохранилищ, составит 200 млн.долл. Общая стоимость проекта расширения нефтехимкомплекса, включающего также сооружение завода по производству этилендихлорида (сырья для производства пластиковых труб и др. видов пластмасс), а также модернизацию НПЗ, составит 2 млрд.долл.</w:t>
      </w:r>
    </w:p>
    <w:p w:rsidR="00550B1A" w:rsidRDefault="00E507C6">
      <w:pPr>
        <w:tabs>
          <w:tab w:val="num" w:pos="-360"/>
        </w:tabs>
        <w:spacing w:beforeAutospacing="1" w:afterAutospacing="1" w:line="360" w:lineRule="auto"/>
        <w:ind w:firstLine="567"/>
        <w:jc w:val="both"/>
        <w:rPr>
          <w:sz w:val="26"/>
        </w:rPr>
      </w:pPr>
      <w:r>
        <w:rPr>
          <w:sz w:val="26"/>
        </w:rPr>
        <w:pict>
          <v:shape id="_x0000_i1075" type="#_x0000_t75" style="width:.75pt;height:.75pt;mso-wrap-distance-left:6pt;mso-wrap-distance-right:6pt" o:bullet="t"/>
        </w:pict>
      </w:r>
      <w:r>
        <w:rPr>
          <w:sz w:val="26"/>
        </w:rPr>
        <w:pict>
          <v:shape id="_x0000_i1076" type="#_x0000_t75" style="width:.75pt;height:.75pt;mso-wrap-distance-left:6pt;mso-wrap-distance-right:6pt" o:bullet="t"/>
        </w:pict>
      </w:r>
      <w:r>
        <w:rPr>
          <w:sz w:val="26"/>
        </w:rPr>
        <w:pict>
          <v:shape id="_x0000_i1077" type="#_x0000_t75" style="width:.75pt;height:.75pt;mso-wrap-distance-left:6pt;mso-wrap-distance-right:6pt"/>
        </w:pict>
      </w:r>
      <w:r w:rsidR="00550B1A">
        <w:rPr>
          <w:sz w:val="26"/>
        </w:rPr>
        <w:t>«Аднок» учредила со скандинавской фирмой «Бореалис» компанию «Бурудж» – одновременно в Абу-Даби и Сингапуре, для владения заводом в Рувейсе по производству 600 тыс.т. этилена в год. Доля «Аднок» будет составлять 60%, а доля «Бореалис» – 40%. Контракт на строительство завода подписан с консорциумом «Линде» (Германия)-Бехтель(США). Стоимость строительства – 600 млн.долл., срок сдачи в эксплуатацию – 2000 г. Есть проект строительства завода по производству 520 тыс.т. этилендихлорида и 440 тыс.т. соды в год.</w:t>
      </w:r>
    </w:p>
    <w:p w:rsidR="00550B1A" w:rsidRDefault="00E507C6">
      <w:pPr>
        <w:tabs>
          <w:tab w:val="num" w:pos="-360"/>
        </w:tabs>
        <w:spacing w:beforeAutospacing="1" w:afterAutospacing="1" w:line="360" w:lineRule="auto"/>
        <w:ind w:firstLine="567"/>
        <w:jc w:val="both"/>
        <w:rPr>
          <w:sz w:val="26"/>
        </w:rPr>
      </w:pPr>
      <w:r>
        <w:rPr>
          <w:sz w:val="26"/>
        </w:rPr>
        <w:pict>
          <v:shape id="_x0000_i1078" type="#_x0000_t75" style="width:.75pt;height:.75pt;mso-wrap-distance-left:6pt;mso-wrap-distance-right:6pt" o:bullet="t"/>
        </w:pict>
      </w:r>
      <w:r>
        <w:rPr>
          <w:sz w:val="26"/>
        </w:rPr>
        <w:pict>
          <v:shape id="_x0000_i1079" type="#_x0000_t75" style="width:.75pt;height:.75pt;mso-wrap-distance-left:6pt;mso-wrap-distance-right:6pt"/>
        </w:pict>
      </w:r>
      <w:r w:rsidR="00550B1A">
        <w:rPr>
          <w:sz w:val="26"/>
        </w:rPr>
        <w:t>Правительство Дубая рассматривает предложение группы БАСФ по сооружению нефтехимкомплекса в Дубае стоимостью 2 млрд.долл.</w:t>
      </w:r>
    </w:p>
    <w:p w:rsidR="00550B1A" w:rsidRDefault="00E507C6">
      <w:pPr>
        <w:tabs>
          <w:tab w:val="num" w:pos="-360"/>
        </w:tabs>
        <w:spacing w:beforeAutospacing="1" w:afterAutospacing="1" w:line="360" w:lineRule="auto"/>
        <w:ind w:firstLine="567"/>
        <w:jc w:val="both"/>
        <w:rPr>
          <w:sz w:val="26"/>
        </w:rPr>
      </w:pPr>
      <w:r>
        <w:rPr>
          <w:sz w:val="26"/>
        </w:rPr>
        <w:pict>
          <v:shape id="_x0000_i1080" type="#_x0000_t75" style="width:.75pt;height:.75pt;mso-wrap-distance-left:6pt;mso-wrap-distance-right:6pt" o:bullet="t"/>
        </w:pict>
      </w:r>
      <w:r>
        <w:rPr>
          <w:sz w:val="26"/>
        </w:rPr>
        <w:pict>
          <v:shape id="_x0000_i1081" type="#_x0000_t75" style="width:.75pt;height:.75pt;mso-wrap-distance-left:6pt;mso-wrap-distance-right:6pt"/>
        </w:pict>
      </w:r>
      <w:r w:rsidR="00550B1A">
        <w:rPr>
          <w:sz w:val="26"/>
        </w:rPr>
        <w:t>В начале 1998 г. подписан контракт между «Аднок» и Департаментом снабжения эмирата Дубай о поставках газа из Абу-Даби. Для реализации этих планов в ближайшие два года будут построены газопроводы между Абу-Даби и Дубаем, а также между Абу-Даби и Катаром.</w:t>
      </w:r>
    </w:p>
    <w:p w:rsidR="00550B1A" w:rsidRDefault="00550B1A">
      <w:pPr>
        <w:spacing w:beforeAutospacing="1" w:afterAutospacing="1" w:line="360" w:lineRule="auto"/>
        <w:ind w:firstLine="567"/>
        <w:jc w:val="both"/>
        <w:rPr>
          <w:sz w:val="26"/>
        </w:rPr>
      </w:pPr>
    </w:p>
    <w:p w:rsidR="00550B1A" w:rsidRDefault="00550B1A">
      <w:pPr>
        <w:pStyle w:val="4"/>
        <w:spacing w:line="360" w:lineRule="auto"/>
        <w:ind w:firstLine="567"/>
        <w:jc w:val="both"/>
        <w:rPr>
          <w:rFonts w:ascii="Arial" w:hAnsi="Arial" w:cs="Arial"/>
          <w:sz w:val="26"/>
        </w:rPr>
      </w:pPr>
      <w:r>
        <w:rPr>
          <w:rFonts w:ascii="Arial" w:hAnsi="Arial" w:cs="Arial"/>
          <w:sz w:val="26"/>
        </w:rPr>
        <w:t>Инвестиции</w:t>
      </w:r>
    </w:p>
    <w:p w:rsidR="00550B1A" w:rsidRDefault="00E507C6">
      <w:pPr>
        <w:spacing w:beforeAutospacing="1" w:afterAutospacing="1" w:line="360" w:lineRule="auto"/>
        <w:ind w:firstLine="567"/>
        <w:jc w:val="both"/>
        <w:rPr>
          <w:sz w:val="26"/>
        </w:rPr>
      </w:pPr>
      <w:r>
        <w:rPr>
          <w:b/>
          <w:bCs/>
          <w:sz w:val="26"/>
        </w:rPr>
        <w:pict>
          <v:shape id="_x0000_i1082" type="#_x0000_t75" style="width:.75pt;height:.75pt;mso-wrap-distance-left:6pt;mso-wrap-distance-right:6pt" o:bullet="t"/>
        </w:pict>
      </w:r>
      <w:r w:rsidR="00550B1A">
        <w:rPr>
          <w:sz w:val="26"/>
        </w:rPr>
        <w:t>Основной объем иноинвестиций в ОАЭ, оцениваемых в 100 млрд.долл., осуществляется через Инвестиционное управление Абу-Даби, а также через ЦБ, нефтекомпании, частные банки.</w:t>
      </w:r>
    </w:p>
    <w:p w:rsidR="00550B1A" w:rsidRDefault="00E507C6">
      <w:pPr>
        <w:spacing w:beforeAutospacing="1" w:afterAutospacing="1" w:line="360" w:lineRule="auto"/>
        <w:ind w:firstLine="567"/>
        <w:jc w:val="both"/>
        <w:rPr>
          <w:sz w:val="26"/>
        </w:rPr>
      </w:pPr>
      <w:r>
        <w:rPr>
          <w:sz w:val="26"/>
        </w:rPr>
        <w:pict>
          <v:shape id="_x0000_i1083" type="#_x0000_t75" style="width:.75pt;height:.75pt;mso-wrap-distance-left:6pt;mso-wrap-distance-right:6pt" o:bullet="t"/>
        </w:pict>
      </w:r>
      <w:r>
        <w:rPr>
          <w:sz w:val="26"/>
        </w:rPr>
        <w:pict>
          <v:shape id="_x0000_i1084" type="#_x0000_t75" style="width:.75pt;height:.75pt;mso-wrap-distance-left:6pt;mso-wrap-distance-right:6pt"/>
        </w:pict>
      </w:r>
      <w:r w:rsidR="00550B1A">
        <w:rPr>
          <w:sz w:val="26"/>
        </w:rPr>
        <w:t>Объем собственных и привлеченных средств работающих в ОАЭ 47 банков (19 национальных и 28 иностранных) составил на конец 1997 г. 59 млрд.долл., выданных кредитов – 30 млрд.долл., депозитов – 29 млрд.долл., совокупной прибыли – 650 млн.долл. В 1998 г. правительствами Абу-Даби и Дубая учреждена промышленная инвестиц. компания с капиталом 1,1 млрд.долл. Проведенные в 1997-98 гг. публичные подписки на акции вновь учрежденных АОпривлекли свободную наличность частного сектора в объеме нескольких млрд.долл. Однако в третьем квартале 1998 г. произошел обвал цен на акции, вторичная капитализация ценных бумаг снизилась на треть.</w:t>
      </w:r>
    </w:p>
    <w:p w:rsidR="00550B1A" w:rsidRDefault="00E507C6">
      <w:pPr>
        <w:spacing w:beforeAutospacing="1" w:afterAutospacing="1" w:line="360" w:lineRule="auto"/>
        <w:ind w:firstLine="567"/>
        <w:jc w:val="both"/>
        <w:rPr>
          <w:sz w:val="26"/>
        </w:rPr>
      </w:pPr>
      <w:r>
        <w:rPr>
          <w:sz w:val="26"/>
        </w:rPr>
        <w:pict>
          <v:shape id="_x0000_i1085" type="#_x0000_t75" style="width:.75pt;height:.75pt;mso-wrap-distance-left:6pt;mso-wrap-distance-right:6pt" o:bullet="t"/>
        </w:pict>
      </w:r>
      <w:r>
        <w:rPr>
          <w:sz w:val="26"/>
        </w:rPr>
        <w:pict>
          <v:shape id="_x0000_i1086" type="#_x0000_t75" style="width:.75pt;height:.75pt;mso-wrap-distance-left:6pt;mso-wrap-distance-right:6pt"/>
        </w:pict>
      </w:r>
      <w:r w:rsidR="00550B1A">
        <w:rPr>
          <w:sz w:val="26"/>
        </w:rPr>
        <w:t>Эмираты ведут активную политику по совершенствованию структуры и поддержанию доходности своих инвестиций за границей, оцениваемых в 200 млрд.долл.</w:t>
      </w:r>
    </w:p>
    <w:p w:rsidR="00550B1A" w:rsidRDefault="00E507C6">
      <w:pPr>
        <w:spacing w:beforeAutospacing="1" w:afterAutospacing="1" w:line="360" w:lineRule="auto"/>
        <w:ind w:firstLine="567"/>
        <w:jc w:val="both"/>
        <w:rPr>
          <w:sz w:val="26"/>
        </w:rPr>
      </w:pPr>
      <w:r>
        <w:rPr>
          <w:sz w:val="26"/>
        </w:rPr>
        <w:pict>
          <v:shape id="_x0000_i1087" type="#_x0000_t75" style="width:.75pt;height:.75pt;mso-wrap-distance-left:6pt;mso-wrap-distance-right:6pt" o:bullet="t"/>
        </w:pict>
      </w:r>
      <w:r>
        <w:rPr>
          <w:sz w:val="26"/>
        </w:rPr>
        <w:pict>
          <v:shape id="_x0000_i1088" type="#_x0000_t75" style="width:.75pt;height:.75pt;mso-wrap-distance-left:6pt;mso-wrap-distance-right:6pt"/>
        </w:pict>
      </w:r>
      <w:r w:rsidR="00550B1A">
        <w:rPr>
          <w:sz w:val="26"/>
        </w:rPr>
        <w:t>Принадлежащая правительству Абу-Даби Межд. нефтинвесткомпания (МНИК) совместно с австрийской компанией ОМВ приобрели в 1997 г. за 800 млн.долл. 50%-ю долю в норвежско-финском СП «Бореалис» со штаб-квартирой в Копенгагене, ранее принадлежавшую финской фирме «Несте Ой» (84% капитала контролируется правительством Финляндии). Фирма «Бореалис» является крупнейшим в Европе и пятым в мире производителем полиэтилена. В свою очередь МНИК владеет 2% акций австрийской компании ОМВ – одной из крупнейших нефтехимических фирм мира, принадлежащей на 52% правительству Австрии, которые были приобретены в 1994 г. за 450 млн.долл. Несколько ранее МНИК инвестировала 120 млн.долл. в 11% акций Cepsa, крупнейшей нефтехимической фирмы Испании. МНИК принадлежит 40% расположенного в Пакистане НПЗ «Парко», 48% пакистанско-арабского завода удобрений и 15% египетской компании по строительству нефтепроводов. Польская компания «Нафта» пригласила МНИК участвовать в тендере на приватизацию 30% акций двух своих НПЗ. За 500 млн.долл. в 1998 г. были приобретены 50% акций корейской фирмы «Хюндей Ойл». Достигнута договоренность о создании СП с Китаем по строительству и эксплуатации крупного НПЗ в КНР.</w:t>
      </w:r>
    </w:p>
    <w:p w:rsidR="00550B1A" w:rsidRDefault="00E507C6">
      <w:pPr>
        <w:tabs>
          <w:tab w:val="num" w:pos="720"/>
        </w:tabs>
        <w:spacing w:beforeAutospacing="1" w:afterAutospacing="1" w:line="360" w:lineRule="auto"/>
        <w:ind w:firstLine="567"/>
        <w:jc w:val="both"/>
        <w:rPr>
          <w:sz w:val="26"/>
        </w:rPr>
      </w:pPr>
      <w:r>
        <w:rPr>
          <w:sz w:val="26"/>
        </w:rPr>
        <w:pict>
          <v:shape id="_x0000_i1089" type="#_x0000_t75" style="width:.75pt;height:.75pt;mso-wrap-distance-left:6pt;mso-wrap-distance-right:6pt" o:bullet="t"/>
        </w:pict>
      </w:r>
      <w:r>
        <w:rPr>
          <w:sz w:val="26"/>
        </w:rPr>
        <w:pict>
          <v:shape id="_x0000_i1090" type="#_x0000_t75" style="width:.75pt;height:.75pt;mso-wrap-distance-left:6pt;mso-wrap-distance-right:6pt"/>
        </w:pict>
      </w:r>
      <w:r w:rsidR="00550B1A">
        <w:rPr>
          <w:sz w:val="26"/>
        </w:rPr>
        <w:t>Инвестиционное управление Абу-Даби, став акционером ряда крупных западных компаний, получило возможность привлекать уже в Эмираты капиталы и техопыт указанных компаний. Так, владея 2,8% акций «Бритиш Эйрвейз», Инвеступравление смогло обеспечить 15% участие (20 млн.долл.) этой британской компании в капитале вновь образованной лизинговой компании «Аль-Ваха» (авиатехника). Австрийская ОМВ выкупила 10% доли Абу-Даби в капитале «Парко».</w:t>
      </w:r>
    </w:p>
    <w:p w:rsidR="00550B1A" w:rsidRDefault="00E507C6">
      <w:pPr>
        <w:tabs>
          <w:tab w:val="num" w:pos="720"/>
        </w:tabs>
        <w:spacing w:beforeAutospacing="1" w:afterAutospacing="1" w:line="360" w:lineRule="auto"/>
        <w:ind w:firstLine="567"/>
        <w:jc w:val="both"/>
        <w:rPr>
          <w:sz w:val="26"/>
        </w:rPr>
      </w:pPr>
      <w:r>
        <w:rPr>
          <w:sz w:val="26"/>
        </w:rPr>
        <w:pict>
          <v:shape id="_x0000_i1091" type="#_x0000_t75" style="width:.75pt;height:.75pt;mso-wrap-distance-left:6pt;mso-wrap-distance-right:6pt" o:bullet="t"/>
        </w:pict>
      </w:r>
      <w:r>
        <w:rPr>
          <w:sz w:val="26"/>
        </w:rPr>
        <w:pict>
          <v:shape id="_x0000_i1092" type="#_x0000_t75" style="width:.75pt;height:.75pt;mso-wrap-distance-left:6pt;mso-wrap-distance-right:6pt"/>
        </w:pict>
      </w:r>
      <w:r w:rsidR="00550B1A">
        <w:rPr>
          <w:sz w:val="26"/>
        </w:rPr>
        <w:t>В 1997 г. частная группа «Бин Хам» купила 52% акций «Женского банка» Пакистана. Финансовый консорциум Абу-Даби под руководством шейха Нахайана бен Мубарака установил контроль над ранее принадлежавшим правительству Пакистана банком «Хабиб Кредит». За 1 млрд.долл. абу-дабийская группа «Аль-Манхаль Инвестмент» приобрела 49%акций строящегося нефтехимкомплекса «Согхла».</w:t>
      </w:r>
    </w:p>
    <w:p w:rsidR="00550B1A" w:rsidRDefault="00E507C6">
      <w:pPr>
        <w:tabs>
          <w:tab w:val="num" w:pos="720"/>
        </w:tabs>
        <w:spacing w:beforeAutospacing="1" w:afterAutospacing="1" w:line="360" w:lineRule="auto"/>
        <w:ind w:firstLine="567"/>
        <w:jc w:val="both"/>
        <w:rPr>
          <w:sz w:val="26"/>
        </w:rPr>
      </w:pPr>
      <w:r>
        <w:rPr>
          <w:sz w:val="26"/>
        </w:rPr>
        <w:pict>
          <v:shape id="_x0000_i1093" type="#_x0000_t75" style="width:.75pt;height:.75pt;mso-wrap-distance-left:6pt;mso-wrap-distance-right:6pt" o:bullet="t"/>
        </w:pict>
      </w:r>
      <w:r>
        <w:rPr>
          <w:sz w:val="26"/>
        </w:rPr>
        <w:pict>
          <v:shape id="_x0000_i1094" type="#_x0000_t75" style="width:.75pt;height:.75pt;mso-wrap-distance-left:6pt;mso-wrap-distance-right:6pt"/>
        </w:pict>
      </w:r>
      <w:r w:rsidR="00550B1A">
        <w:rPr>
          <w:sz w:val="26"/>
        </w:rPr>
        <w:t>Дубайский банк «Эмирейтс Интернешнл» приобрел в 1996 г. контрольный пакет акций одного из крупных банков в Бейруте. Дубайская авиакомпания «Эмирейтс» приобрела контрольный пакет акций авиакомпании «Эр Ланка». Дубайская госнефтекомпания «Энок» приобрела 46% ирландской нефтекомпании «Драгон», вовлеченной в совместные с Иранской национальной нефтекомпанией нефтепроекты на Каспии.</w:t>
      </w:r>
    </w:p>
    <w:p w:rsidR="00550B1A" w:rsidRDefault="00E507C6">
      <w:pPr>
        <w:tabs>
          <w:tab w:val="num" w:pos="720"/>
        </w:tabs>
        <w:spacing w:beforeAutospacing="1" w:afterAutospacing="1" w:line="360" w:lineRule="auto"/>
        <w:ind w:firstLine="567"/>
        <w:jc w:val="both"/>
        <w:rPr>
          <w:sz w:val="26"/>
        </w:rPr>
      </w:pPr>
      <w:r>
        <w:rPr>
          <w:sz w:val="26"/>
        </w:rPr>
        <w:pict>
          <v:shape id="_x0000_i1095" type="#_x0000_t75" style="width:.75pt;height:.75pt;mso-wrap-distance-left:6pt;mso-wrap-distance-right:6pt" o:bullet="t"/>
        </w:pict>
      </w:r>
      <w:r>
        <w:rPr>
          <w:sz w:val="26"/>
        </w:rPr>
        <w:pict>
          <v:shape id="_x0000_i1096" type="#_x0000_t75" style="width:.75pt;height:.75pt;mso-wrap-distance-left:6pt;mso-wrap-distance-right:6pt"/>
        </w:pict>
      </w:r>
      <w:r w:rsidR="00550B1A">
        <w:rPr>
          <w:sz w:val="26"/>
        </w:rPr>
        <w:t>ОАЭ являются членом ВТО, однако протокол о присоединении к ГАТТ предусматривает для этой страны адаптационный период до 2005 г., в течение которого внутреннее торгово-финансовое законодательство должно быть приведено в соответствие с нормами ВТО. По заявлению минэкономики и торговли шейха Фахима Аль-Кассими, вплоть до 2000 г. ОАЭ не собираются вносить изменения в законодательство о торговых агентах, ограничивающее права иностранных компаний.</w:t>
      </w:r>
    </w:p>
    <w:p w:rsidR="00550B1A" w:rsidRDefault="00550B1A">
      <w:pPr>
        <w:pStyle w:val="4"/>
        <w:tabs>
          <w:tab w:val="left" w:pos="9355"/>
        </w:tabs>
        <w:ind w:firstLine="567"/>
        <w:jc w:val="both"/>
        <w:rPr>
          <w:rFonts w:ascii="Arial" w:hAnsi="Arial" w:cs="Arial"/>
          <w:sz w:val="26"/>
        </w:rPr>
      </w:pPr>
      <w:r>
        <w:rPr>
          <w:rFonts w:ascii="Arial" w:hAnsi="Arial" w:cs="Arial"/>
          <w:sz w:val="26"/>
        </w:rPr>
        <w:t>Экспорт</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097" type="#_x0000_t75" style="width:.75pt;height:.75pt;mso-wrap-distance-left:6pt;mso-wrap-distance-right:6pt" o:bullet="t"/>
        </w:pict>
      </w:r>
      <w:r w:rsidR="00550B1A">
        <w:rPr>
          <w:sz w:val="26"/>
        </w:rPr>
        <w:t>Товарооборот в 1998 г. достиг 57,1 млрд.долл., в том числе экспорт – 29,7, импорт – 27,4 и реэкспорт – 7 млрд.долл. В структуре экспорта более 50% составляет нефть (100 млн. т. в 1998 г. на 12,6 млрд.долл.). Крупные позиции экспорта – газ (1 млрд.долл.), текстиль, алюминий. Более 50% экспорта ОАЭ направляется в Японию, которая импортирует 70% эмиратской нефти и почти весь объем вывозимого сжиженного газа. Импорт более диверсифицирован – около трети его стоимости приходится на машины, оборудование и транспортные средства, треть – на готовые промтовары, крупной позицией импорта является также продовольствие. Основными партнерами по импорту являются Япония (14%), США, страны ЕС. Главные направления реэкспорта товаров из ОАЭ – Иран, КСА, страны СНГ, в т.ч. Россия, Индия.</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098" type="#_x0000_t75" style="width:.75pt;height:.75pt;mso-wrap-distance-left:6pt;mso-wrap-distance-right:6pt" o:bullet="t"/>
        </w:pict>
      </w:r>
      <w:r w:rsidR="00550B1A">
        <w:rPr>
          <w:sz w:val="26"/>
        </w:rPr>
        <w:tab/>
      </w:r>
      <w:r>
        <w:rPr>
          <w:sz w:val="26"/>
        </w:rPr>
        <w:pict>
          <v:shape id="_x0000_i1099" type="#_x0000_t75" style="width:.75pt;height:.75pt;mso-wrap-distance-left:6pt;mso-wrap-distance-right:6pt"/>
        </w:pict>
      </w:r>
      <w:r w:rsidR="00550B1A">
        <w:rPr>
          <w:i/>
          <w:iCs/>
          <w:sz w:val="26"/>
        </w:rPr>
        <w:t>Участие в процессе индустриализации как путь расширения экспорта.</w:t>
      </w:r>
      <w:r w:rsidR="00550B1A">
        <w:rPr>
          <w:sz w:val="26"/>
        </w:rPr>
        <w:t>Если в эмиратах Дубай и Шарджа уже значительное время довольно активно идет процесс развития обрабатывающей промышленности, то поворот к индустриализации в самом крупном эмирате ОАЭ – Абу-Даби только начинается. Этот существенный поворот в экономической стратегии и политике Абу-Даби опирается на созданную современную инфраструктуру и свободные финресурсы от экспорта нефти, однако для его реализации необходим приток современных технологий, в привлечении которых и заинтересованы правительственные круги эмирата. Использование российскими организациями возникающих при этом возможностей может значительно расширить экспорт машин и оборудования в форме передачи технологии, участия в создании современных производств в ОАЭ, компенсировав тем самым препятствия, имеющиеся на пути российского экспорта на этот рынок.</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00" type="#_x0000_t75" style="width:.75pt;height:.75pt;mso-wrap-distance-left:6pt;mso-wrap-distance-right:6pt"/>
        </w:pict>
      </w:r>
      <w:r w:rsidR="00550B1A">
        <w:rPr>
          <w:sz w:val="26"/>
        </w:rPr>
        <w:t>Госпромкорпорация Абу-Даби (ГПК) учредила фонд кредитования малого бизнеса с капиталом 27 млн.долл. Поскольку иностранные физические и юридические лица могут получать кредиты из указанного фонда в случае создания ими СП с местными партнерами в соотношении 49-51, российские производители также могут воспользоваться указанной возможностью для финансирования высокотехнологичных проектов в Абу-Даби с расчетной рентабельностью не менее 10%. Максимальный объем кредита – 2,7 млн.долл., который не может составлять более половины общей стоимости проекта. Кредиты будут предоставляться на срок до 10 лет из 4% годовых с льготным периодом максимум три года.</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01" type="#_x0000_t75" style="width:.75pt;height:.75pt;mso-wrap-distance-left:6pt;mso-wrap-distance-right:6pt"/>
        </w:pict>
      </w:r>
      <w:r w:rsidR="00550B1A">
        <w:rPr>
          <w:sz w:val="26"/>
        </w:rPr>
        <w:t>ГПК подготовила ТЭО целого ряда промпроектов в Абу-Даби, в том числе заводов кондиционеров, алюминиевого проката, электрических выключателей, химтоваров и др. с общим объемом необходимых капиталовложений 600 млн.долл. Основным критерием эмиратской стороны являются экономическая рентабельность и новизна технологии, факторами, обеспечивающими рентабельность, могут стать относительная дешевизна рабочей силы в ОАЭ, отсутствие налогов, льготные условия кредитования основного и оборотного капиталов предприятий.</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02" type="#_x0000_t75" style="width:.75pt;height:.75pt;mso-wrap-distance-left:6pt;mso-wrap-distance-right:6pt" o:bullet="t"/>
        </w:pict>
      </w:r>
      <w:r>
        <w:rPr>
          <w:sz w:val="26"/>
        </w:rPr>
        <w:pict>
          <v:shape id="_x0000_i1103" type="#_x0000_t75" style="width:.75pt;height:.75pt;mso-wrap-distance-left:6pt;mso-wrap-distance-right:6pt"/>
        </w:pict>
      </w:r>
      <w:r w:rsidR="00550B1A">
        <w:rPr>
          <w:sz w:val="26"/>
        </w:rPr>
        <w:t>В 1998 г. начала активную деятельность дубайская компания «Эамар», приступившая к строительству «производственного парка по переработке золота и бриллиантов» стоимостью 30 млн.долл. Российские предприятия в 1998-99 гг. проявляли интерес к использованию воможностей рынка ОАЭ в этой сфере, в частности смоленский завод «Кристалл» по обработке бриллиантов. С созданием новых сталепрокатного завода, судоверфи и лесопильного предприятия в Абу-Даби появляются новые потенциальные потребители роспродукции – стальной заготовки, стального листа и круглого леса. Ни к одному из проводимых в ОАЭ тендеров российские организации не приглашаются по причине того, что они не аккредитованы при соответствующих организациях-заказчиках госсектора ОАЭ.</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04" type="#_x0000_t75" style="width:.75pt;height:.75pt;mso-wrap-distance-left:6pt;mso-wrap-distance-right:6pt" o:bullet="t"/>
        </w:pict>
      </w:r>
      <w:r>
        <w:rPr>
          <w:sz w:val="26"/>
        </w:rPr>
        <w:pict>
          <v:shape id="_x0000_i1105" type="#_x0000_t75" style="width:.75pt;height:.75pt;mso-wrap-distance-left:6pt;mso-wrap-distance-right:6pt"/>
        </w:pict>
      </w:r>
      <w:r w:rsidR="00550B1A">
        <w:rPr>
          <w:sz w:val="26"/>
        </w:rPr>
        <w:t>Участие инокомпаний в строительстве возможно: через СП, в котором не менее 51% уставного капитала принадлежит местной национальной компании/физическому лицу; в качестве субподрядчика; на основе соглашения о совместной деятельности по реализации данного проекта с местной компанией, причем только техническая часть такого соглашения представляется в министерство, которое не вмешивается в финансовые взаимоотношения двух сторон. Исключение составляют межд. тендеры, объявляемые в тех случаях, когда местные подрядчики не в состоянии реализовать те или иные проекты.</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06" type="#_x0000_t75" style="width:.75pt;height:.75pt;mso-wrap-distance-left:6pt;mso-wrap-distance-right:6pt" o:bullet="t"/>
        </w:pict>
      </w:r>
      <w:r>
        <w:rPr>
          <w:sz w:val="26"/>
        </w:rPr>
        <w:pict>
          <v:shape id="_x0000_i1107" type="#_x0000_t75" style="width:.75pt;height:.75pt;mso-wrap-distance-left:6pt;mso-wrap-distance-right:6pt"/>
        </w:pict>
      </w:r>
      <w:r w:rsidR="00550B1A">
        <w:rPr>
          <w:sz w:val="26"/>
        </w:rPr>
        <w:t>Проблема могла бы быть решена путем создания отдельных филиалов таких компаний, как «Технопромэкспорт», «Тяжпромэкспорт», «Машиноимпорт», «Зарубежнефть», «Зарубежводстрой», «Зангаз», или же, в случае недостаточности финансовых средств на открытие отдельных представительств, путем создания консорциума объединений «Технопромэкспорт», «Тяжпромэкспорт» и «Машиноимпорт» для регистрации в Абу-Даби в форме АО, возможно – с участием инвестиц. институтов, принадлежащих правительству Абу-Даби, или же в форме филиала инокомпании с учетом требований местного законодательства для участия в тендерах по объектам энергетики, нефтяной и металлургической промышленности.</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08" type="#_x0000_t75" style="width:.75pt;height:.75pt;mso-wrap-distance-left:6pt;mso-wrap-distance-right:6pt" o:bullet="t"/>
        </w:pict>
      </w:r>
      <w:r>
        <w:rPr>
          <w:sz w:val="26"/>
        </w:rPr>
        <w:pict>
          <v:shape id="_x0000_i1109" type="#_x0000_t75" style="width:.75pt;height:.75pt;mso-wrap-distance-left:6pt;mso-wrap-distance-right:6pt"/>
        </w:pict>
      </w:r>
      <w:r w:rsidR="00550B1A">
        <w:rPr>
          <w:i/>
          <w:iCs/>
          <w:sz w:val="26"/>
        </w:rPr>
        <w:t>Местное законодательство о компаниях</w:t>
      </w:r>
      <w:r w:rsidR="00550B1A">
        <w:rPr>
          <w:sz w:val="26"/>
        </w:rPr>
        <w:t>предусматривает несколько форм работы иностранных строительных фирм на подрядном рынке, в т.ч. учреждение стройкомпании в форме филиала инофирмы. Необходимо представить заявку в минэкономики и торговли ОАЭ с приложением устава головной компании в России, копии решения ее совета директоров об организации дочернего предприятия, документа о регистрации головного предприятия и его платежеспособности, нотариально заверенной доверенности на представителя в ОАЭ, последних двух годовых балансов. Министерство на основе поданой заявки обращается в правительство эмирата Абу-Даби. В случае одобрения правительством заявка далее направляется в муниципалитет и ТПП Абу-Даби, в которые необходимо представить нотариально оформленное и зарегистрированное агентское соглашение с местной спонсорской компанией и контракт на аренду офиса в Абу-Даби.</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10" type="#_x0000_t75" style="width:.75pt;height:.75pt;mso-wrap-distance-left:6pt;mso-wrap-distance-right:6pt" o:bullet="t"/>
        </w:pict>
      </w:r>
      <w:r>
        <w:rPr>
          <w:sz w:val="26"/>
        </w:rPr>
        <w:pict>
          <v:shape id="_x0000_i1111" type="#_x0000_t75" style="width:.75pt;height:.75pt;mso-wrap-distance-left:6pt;mso-wrap-distance-right:6pt"/>
        </w:pict>
      </w:r>
      <w:r w:rsidR="00550B1A">
        <w:rPr>
          <w:sz w:val="26"/>
        </w:rPr>
        <w:t>На регистрацию требуется 1 тыс.долл., помимо расходов на аренду офиса и обязательного банковского депозита в течение первого года деятельности представительства – 55 тыс.долл. Агентское вознаграждение местному спонсору обычно составляет 1-2% стоимости контрактов, заключаемых с госорганизациями. Местный спонсор не участвует в капитале компании, в ее управлении, не отвечает по ее обязательствам.</w:t>
      </w:r>
      <w:r w:rsidR="00550B1A">
        <w:rPr>
          <w:sz w:val="26"/>
        </w:rPr>
        <w:br/>
      </w:r>
      <w:r>
        <w:rPr>
          <w:sz w:val="26"/>
        </w:rPr>
        <w:pict>
          <v:shape id="_x0000_i1112" type="#_x0000_t75" style="width:.75pt;height:.75pt;mso-wrap-distance-left:6pt;mso-wrap-distance-right:6pt"/>
        </w:pict>
      </w:r>
      <w:r w:rsidR="00550B1A">
        <w:rPr>
          <w:sz w:val="26"/>
        </w:rPr>
        <w:t>Стройкомпания может быть создана также в форме индивидуального предприятия, принадлежащего одному иностранному физическому лицу. Эта форма не требует обращения в минэкономики и торговли, однако и в данном случае для получения лицензии требуется соглашение с местным спонсором, аренда офиса и согласие регистрирующего органа (муниципалитета и пр.).</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13" type="#_x0000_t75" style="width:.75pt;height:.75pt;mso-wrap-distance-left:6pt;mso-wrap-distance-right:6pt" o:bullet="t"/>
        </w:pict>
      </w:r>
      <w:r>
        <w:rPr>
          <w:sz w:val="26"/>
        </w:rPr>
        <w:pict>
          <v:shape id="_x0000_i1114" type="#_x0000_t75" style="width:.75pt;height:.75pt;mso-wrap-distance-left:6pt;mso-wrap-distance-right:6pt"/>
        </w:pict>
      </w:r>
      <w:r w:rsidR="00550B1A">
        <w:rPr>
          <w:sz w:val="26"/>
        </w:rPr>
        <w:t>После получения лицензии стройкомпаниям рекомендуется пройти регистрацию в Департаменте коммерческих зданий и общественных услуг и Департаменте общественных работ эмирата Абу-Даби, которые присваивают каждой компании категорию в соответствии с объемом имеющегося у компании оборудования и числом инженерного персонала и рабочих, работающих в компании в пределах ОАЭ. Такая регистрация дает возможность стройкомпаниям участвовать в гостендерах в сфере гражданского строительства на территории Абу-Даби в качестве генподрядчика. Для участия в тендерах в сфере нефтегазового строительства требуется аналогичная регистрация в основных нефтяных компаниях эмирата.</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15" type="#_x0000_t75" style="width:.75pt;height:.75pt;mso-wrap-distance-left:6pt;mso-wrap-distance-right:6pt" o:bullet="t"/>
        </w:pict>
      </w:r>
      <w:r>
        <w:rPr>
          <w:sz w:val="26"/>
        </w:rPr>
        <w:pict>
          <v:shape id="_x0000_i1116" type="#_x0000_t75" style="width:.75pt;height:.75pt;mso-wrap-distance-left:6pt;mso-wrap-distance-right:6pt"/>
        </w:pict>
      </w:r>
      <w:r w:rsidR="00550B1A">
        <w:rPr>
          <w:sz w:val="26"/>
        </w:rPr>
        <w:t>Возможно также формирование СП с местным партнером. Эта форма имеет очевидное преимущество – в случае выигрыша тендера аванс, выдаваемый госзаказчиком подрядчику, имеет большие размеры (до 5 млн. дирхам по сравнению с 1 млн. дирхам, на который может претендовать иностранная фирма). Однако с юридич. точки зрения указанная форма не исключает возможности потери контроля над компанией в случае возникновения разногласий с местным партнером.</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17" type="#_x0000_t75" style="width:.75pt;height:.75pt;mso-wrap-distance-left:6pt;mso-wrap-distance-right:6pt"/>
        </w:pict>
      </w:r>
      <w:r w:rsidR="00550B1A">
        <w:rPr>
          <w:sz w:val="26"/>
        </w:rPr>
        <w:t>Такие крупные подрядные компании, как «Бехтель» (США), германские «Цюблин» и «Филипп Хольцман», английская «Лейнг», «Сикс констракт» (Бельгия) работают как филиалы иностранных компаний, другие – «Консолидейтед Контракторз»(Греция/Ливан), «Бальфур Битти» (Великобритания) и египетская «Осман Осман» сформировали СП с местными партнерами.</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18" type="#_x0000_t75" style="width:.75pt;height:.75pt;mso-wrap-distance-left:6pt;mso-wrap-distance-right:6pt" o:bullet="t"/>
        </w:pict>
      </w:r>
      <w:r>
        <w:rPr>
          <w:sz w:val="26"/>
        </w:rPr>
        <w:pict>
          <v:shape id="_x0000_i1119" type="#_x0000_t75" style="width:.75pt;height:.75pt;mso-wrap-distance-left:6pt;mso-wrap-distance-right:6pt"/>
        </w:pict>
      </w:r>
      <w:r w:rsidR="00550B1A">
        <w:rPr>
          <w:sz w:val="26"/>
        </w:rPr>
        <w:t>Информация о тендерах за 1-2 месяца публикуется в местных газетах. Однако допускаются к тендерам (в том числе – к приобретению тендерной документации) только компании, имеющие местную регистрацию.</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20" type="#_x0000_t75" style="width:.75pt;height:.75pt;mso-wrap-distance-left:6pt;mso-wrap-distance-right:6pt" o:bullet="t"/>
        </w:pict>
      </w:r>
      <w:r>
        <w:rPr>
          <w:sz w:val="26"/>
        </w:rPr>
        <w:pict>
          <v:shape id="_x0000_i1121" type="#_x0000_t75" style="width:.75pt;height:.75pt;mso-wrap-distance-left:6pt;mso-wrap-distance-right:6pt"/>
        </w:pict>
      </w:r>
      <w:r w:rsidR="00550B1A">
        <w:rPr>
          <w:i/>
          <w:iCs/>
          <w:sz w:val="26"/>
        </w:rPr>
        <w:t>Свободная зона Садият.</w:t>
      </w:r>
      <w:r w:rsidR="00550B1A">
        <w:rPr>
          <w:sz w:val="26"/>
        </w:rPr>
        <w:t>B 1996 г. объявлено о создании новой свободной зоны в эмирате Абу-Даби на о-ве Садият, площадью 3500 га, находящемся в 6 км. от столицы Абу-Даби, с которой остров будет связан подвесным мостом. В СЗС будут созданы морской порт, межд. аэропорт, гостиницы, торговые площадки, ТЭС, опреснитель, элеватор, склады для 67 видов сырьевых товаров на 9,3 млн. т., в том числе для драг. металлов и камней. Общий объем капвложений в создание инфраструктуры СЗС составит 3,3 млрд.долл.</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22" type="#_x0000_t75" style="width:.75pt;height:.75pt;mso-wrap-distance-left:6pt;mso-wrap-distance-right:6pt" o:bullet="t"/>
        </w:pict>
      </w:r>
      <w:r>
        <w:rPr>
          <w:sz w:val="26"/>
        </w:rPr>
        <w:pict>
          <v:shape id="_x0000_i1123" type="#_x0000_t75" style="width:.75pt;height:.75pt;mso-wrap-distance-left:6pt;mso-wrap-distance-right:6pt"/>
        </w:pict>
      </w:r>
      <w:r w:rsidR="00550B1A">
        <w:rPr>
          <w:sz w:val="26"/>
        </w:rPr>
        <w:t>Привлечение указанных средств будет осуществлено через вновь создаваемую Компанию по развитию Садият – ОАО, 48,5% капитала которого будет оплачено и финправительство Абу-Даби, 51,5% средств решено привлечь за счет подписки на акции, открытой с мая 1999 г. для местных и иностранных инвесторов.На международных фондовых рынках подписку поручено провести лондонскому отделению крупной японской финкорпорации «Номура Интернешнл».</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24" type="#_x0000_t75" style="width:.75pt;height:.75pt;mso-wrap-distance-left:6pt;mso-wrap-distance-right:6pt" o:bullet="t"/>
        </w:pict>
      </w:r>
      <w:r>
        <w:rPr>
          <w:sz w:val="26"/>
        </w:rPr>
        <w:pict>
          <v:shape id="_x0000_i1125" type="#_x0000_t75" style="width:.75pt;height:.75pt;mso-wrap-distance-left:6pt;mso-wrap-distance-right:6pt"/>
        </w:pict>
      </w:r>
      <w:r w:rsidR="00550B1A">
        <w:rPr>
          <w:sz w:val="26"/>
        </w:rPr>
        <w:t>В отличие от других свободных зон, существующих в ОАЭ, в СЗС с 1 февр. 1999 г. разрешена регистрация офшорных банков без лицензии ЦБ ОАЭ. В СЗС начнет действовать собственная международная фондовая биржа, для которой будет характерно отсутствие присущих страновым фондовым биржам ограничений.</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26" type="#_x0000_t75" style="width:.75pt;height:.75pt;mso-wrap-distance-left:6pt;mso-wrap-distance-right:6pt" o:bullet="t"/>
        </w:pict>
      </w:r>
      <w:r>
        <w:rPr>
          <w:sz w:val="26"/>
        </w:rPr>
        <w:pict>
          <v:shape id="_x0000_i1127" type="#_x0000_t75" style="width:.75pt;height:.75pt;mso-wrap-distance-left:6pt;mso-wrap-distance-right:6pt"/>
        </w:pict>
      </w:r>
      <w:r w:rsidR="00550B1A">
        <w:rPr>
          <w:sz w:val="26"/>
        </w:rPr>
        <w:t>По замыслу правительства Абу-Даби, СЗС станет крупным региональным финансовым центром, соразмерным Сингапуру, Осаке и Лондону на базе огромного объема ликвидных средств, сосредоточенных в регионе. Одновременно СЗС должна стать крупным биржевым центром по 67 сырьевым товарам, c возможностью покупки/продажи товаров как со складов на спотовом рынке и с аукционных плошадок, так и для фьючерсных сделок. Указанные возможности будут обеспечиваться также собственной финансовой инфраструктурой – банками, страховыми и брокерскими компаниями, а также палатой взаимозачетов («Клиринг хауз»). Будет создан свой арбитражный центр. Склады и хранилища будут сертифицировать поступающие на них товары. Доля СЗС в мировой торговле сырьем должна составить более 5% (21 млрд. долл).</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28" type="#_x0000_t75" style="width:.75pt;height:.75pt;mso-wrap-distance-left:6pt;mso-wrap-distance-right:6pt" o:bullet="t"/>
        </w:pict>
      </w:r>
      <w:r>
        <w:rPr>
          <w:sz w:val="26"/>
        </w:rPr>
        <w:pict>
          <v:shape id="_x0000_i1129" type="#_x0000_t75" style="width:.75pt;height:.75pt;mso-wrap-distance-left:6pt;mso-wrap-distance-right:6pt"/>
        </w:pict>
      </w:r>
      <w:r w:rsidR="00550B1A">
        <w:rPr>
          <w:sz w:val="26"/>
        </w:rPr>
        <w:t>Указанные возможности должны представить значительный интерес для российских организаций по следующим основным направлениям: экспорт сырьевых товаров, с использованием складских помещений СЗС и возможности получения финансирования на сумму до 70% их стоимости, что решает проблему нехватки оборотных средств и неэкономичности транспортировки мелкими партиями; закрепление росбанков на региональном финансовом рынке для обслуживания оборота, привлечения свободных финансовых средств из региона в Россию, а также торговля российскими ценными бумагами; работа банков может начаться с 1999 г. с временной территории в г. Абу-Даби, вплоть до завершения строительства СЗС; участие российских организаций в строительстве инфраструктуры СЗС. Возможно создание в СЗС иностранными компаниями своих филиалов без привязки к местным агентам и спонсорам.</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30" type="#_x0000_t75" style="width:.75pt;height:.75pt;mso-wrap-distance-left:6pt;mso-wrap-distance-right:6pt" o:bullet="t"/>
        </w:pict>
      </w:r>
      <w:r>
        <w:rPr>
          <w:sz w:val="26"/>
        </w:rPr>
        <w:pict>
          <v:shape id="_x0000_i1131" type="#_x0000_t75" style="width:.75pt;height:.75pt;mso-wrap-distance-left:6pt;mso-wrap-distance-right:6pt"/>
        </w:pict>
      </w:r>
      <w:r w:rsidR="00550B1A">
        <w:rPr>
          <w:i/>
          <w:iCs/>
          <w:sz w:val="26"/>
        </w:rPr>
        <w:t>Военно-техническое сотрудничество.</w:t>
      </w:r>
      <w:r w:rsidR="00550B1A">
        <w:rPr>
          <w:sz w:val="26"/>
        </w:rPr>
        <w:t>В мае 1998 г. во время визита в США наследного принца Абу-Даби шейха Халифы было объявлено о намерении ОАЭ отдать предпочтение американским истребителям F-16 в проводимом тендере на поставку 80 новых самолетов для ВВС ОАЭ. В указанном тендере участвовали также российская сторона (эмиратцы объявили в 1997 г. об исключении из тендера Су-37 в связи с отказом российской стороны взять на себя обязательства по офсету, т.е. реинвестициям в ОАЭ части выручки от контракта), французский концерн «Дассо» с самолетом «Рафаль» и европейский концерн с участием «Бритиш Аэроспейс», «Даймлер-Бенц Аэроспейс» и др., предлагающий самолет «Еврофайтер».</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32" type="#_x0000_t75" style="width:.75pt;height:.75pt;mso-wrap-distance-left:6pt;mso-wrap-distance-right:6pt" o:bullet="t"/>
        </w:pict>
      </w:r>
      <w:r>
        <w:rPr>
          <w:sz w:val="26"/>
        </w:rPr>
        <w:pict>
          <v:shape id="_x0000_i1133" type="#_x0000_t75" style="width:.75pt;height:.75pt;mso-wrap-distance-left:6pt;mso-wrap-distance-right:6pt"/>
        </w:pict>
      </w:r>
      <w:r w:rsidR="00550B1A">
        <w:rPr>
          <w:sz w:val="26"/>
        </w:rPr>
        <w:t>В нояб. 1998 г. ОАЭ подписали контракт стоимостью 3,2 млрд.долл. с Францией на поставку 30 военных самолетов Мираж-2000-9 и модернизацию 30 принадлежащих ОАЭ самолетов Мираж-2000.</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34" type="#_x0000_t75" style="width:.75pt;height:.75pt;mso-wrap-distance-left:6pt;mso-wrap-distance-right:6pt" o:bullet="t"/>
        </w:pict>
      </w:r>
      <w:r>
        <w:rPr>
          <w:sz w:val="26"/>
        </w:rPr>
        <w:pict>
          <v:shape id="_x0000_i1135" type="#_x0000_t75" style="width:.75pt;height:.75pt;mso-wrap-distance-left:6pt;mso-wrap-distance-right:6pt"/>
        </w:pict>
      </w:r>
      <w:r w:rsidR="00550B1A">
        <w:rPr>
          <w:sz w:val="26"/>
        </w:rPr>
        <w:t>Каждый поставщик военной техники в ОАЭ по контрактам стоимостью более 10 млн. долл обязан реинвестировать согласованную часть выручки в экономику страны (главным образом, эмирата Абу-Даби), обеспечивая тем самым приток передовых технологий в гражданские отрасли.</w:t>
      </w:r>
      <w:r w:rsidR="00550B1A">
        <w:rPr>
          <w:sz w:val="26"/>
        </w:rPr>
        <w:br/>
      </w:r>
      <w:r>
        <w:rPr>
          <w:sz w:val="26"/>
        </w:rPr>
        <w:pict>
          <v:shape id="_x0000_i1136" type="#_x0000_t75" style="width:.75pt;height:.75pt;mso-wrap-distance-left:6pt;mso-wrap-distance-right:6pt"/>
        </w:pict>
      </w:r>
      <w:r w:rsidR="00550B1A">
        <w:rPr>
          <w:sz w:val="26"/>
        </w:rPr>
        <w:t>В 1998 г. выявилась новая тенденция в создании офсетных предприятий в форме ОАО, используя публичные подписки на акции. Так, в апреле была создана крупнейшая офсетная компания «Табрид» по системам центрального охлаждения помещений, с капиталом 132 млн.долл. и с участием французского военно-промышленного концерна GIAT. В ноябре было объявлено о создании ОАО «Аль-Асмак» по разведению и обработке рыбы. Капитал новой компании составит 80 млн. (с участием «Дассо»).</w:t>
      </w:r>
      <w:r w:rsidR="00550B1A">
        <w:rPr>
          <w:sz w:val="26"/>
        </w:rPr>
        <w:br/>
      </w:r>
      <w:r>
        <w:rPr>
          <w:sz w:val="26"/>
        </w:rPr>
        <w:pict>
          <v:shape id="_x0000_i1137" type="#_x0000_t75" style="width:.75pt;height:.75pt;mso-wrap-distance-left:6pt;mso-wrap-distance-right:6pt"/>
        </w:pict>
      </w:r>
      <w:r w:rsidR="00550B1A">
        <w:rPr>
          <w:i/>
          <w:iCs/>
          <w:sz w:val="26"/>
        </w:rPr>
        <w:t>Об отношениях со странами СНГ.</w:t>
      </w:r>
      <w:r w:rsidR="00550B1A">
        <w:rPr>
          <w:sz w:val="26"/>
        </w:rPr>
        <w:t>Как и другие арабские страны, ОАЭ приветствовали «возвращение народов Средней Азии и Закавказья в лоно ислама», и начальному этапу двусторонних отношений было свойственно некоторое выпячивание своей исламской принадлежности со стороны новых государств. Однако, хотя Эмиратам и импонирует возможность оказывать покровительство и финансовую поддержку в разного рода культурно-религиозных проектах, уже к середине 90-х гг. руководители «исламских» республик СНГ осознали, что эмоционально-религиозный фактор «мусульманской солидарности» не может быть решающим в достижении их основной цели – привлечении эмиратских инвестиций в свою экономику.</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38" type="#_x0000_t75" style="width:.75pt;height:.75pt;mso-wrap-distance-left:6pt;mso-wrap-distance-right:6pt" o:bullet="t"/>
        </w:pict>
      </w:r>
      <w:r>
        <w:rPr>
          <w:sz w:val="26"/>
        </w:rPr>
        <w:pict>
          <v:shape id="_x0000_i1139" type="#_x0000_t75" style="width:.75pt;height:.75pt;mso-wrap-distance-left:6pt;mso-wrap-distance-right:6pt"/>
        </w:pict>
      </w:r>
      <w:r w:rsidR="00550B1A">
        <w:rPr>
          <w:sz w:val="26"/>
        </w:rPr>
        <w:t>Главный интерес для ОАЭ страны Содружества представляют в качестве рынка реэкспортной торговли. Наиболее активно по этому направлению работают эмираты Дубай и Шарджа. Большая часть грузопотока реэкспортируемых товаров приходится на воздушный транспорт. Регулярные или чартерные рейсы в аэропорты ОАЭ осуществляют авиакомпании всех стран СНГ. Отмечается тенденция к снижению объемов товарных поставок из ОАЭ; среди причин падения интереса оптовиков СНГ к эмиратскому рынку – закрытие границ между Ираном и Афганистаном, значительное (до 40 %) повышение портовых сборов, снижение платежеспособности большинства населения стран Содружества.</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40" type="#_x0000_t75" style="width:.75pt;height:.75pt;mso-wrap-distance-left:6pt;mso-wrap-distance-right:6pt" o:bullet="t"/>
        </w:pict>
      </w:r>
      <w:r>
        <w:rPr>
          <w:sz w:val="26"/>
        </w:rPr>
        <w:pict>
          <v:shape id="_x0000_i1141" type="#_x0000_t75" style="width:.75pt;height:.75pt;mso-wrap-distance-left:6pt;mso-wrap-distance-right:6pt"/>
        </w:pict>
      </w:r>
      <w:r w:rsidR="00550B1A">
        <w:rPr>
          <w:sz w:val="26"/>
        </w:rPr>
        <w:t>По мере развития и совершенствования законодательных основ внешнеэкономической деятельности в государствах СНГ эмиратские деловые крути стали проявлять интерес к налаживанию инвестиционного сотрудничества. Наиболее привлекательны в этом отношении Азербайджан и Туркменистан, что связано в первую очередь с перспективами реализации их нефтяных и газовых проектов. Кроме поставок собственно оборудования для нефтегазодобычи ряд эмиратских фирм участвуют в развитии транспортной и туристической инфраструктуры, зачастую совместно с западными компаниями.</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42" type="#_x0000_t75" style="width:.75pt;height:.75pt;mso-wrap-distance-left:6pt;mso-wrap-distance-right:6pt" o:bullet="t"/>
        </w:pict>
      </w:r>
      <w:r>
        <w:rPr>
          <w:sz w:val="26"/>
        </w:rPr>
        <w:pict>
          <v:shape id="_x0000_i1143" type="#_x0000_t75" style="width:.75pt;height:.75pt;mso-wrap-distance-left:6pt;mso-wrap-distance-right:6pt"/>
        </w:pict>
      </w:r>
      <w:r w:rsidR="00550B1A">
        <w:rPr>
          <w:sz w:val="26"/>
        </w:rPr>
        <w:t>ОАЭ установили дипотношения со всеми странами СНГ. Помимо России только Украина имеет посольство в Абу-Даби. Предполагается открытие посольства Беларуси. Казахстан и Узбекистан имеют генконсульства, а Киргизстан – консульство в Дубае. Эмираты пока не спешат открывать свои диппредставительства в государствах СНГ, ссылаясь на кадровые и финансовые проблемы.</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44" type="#_x0000_t75" style="width:.75pt;height:.75pt;mso-wrap-distance-left:6pt;mso-wrap-distance-right:6pt" o:bullet="t"/>
        </w:pict>
      </w:r>
      <w:r>
        <w:rPr>
          <w:sz w:val="26"/>
        </w:rPr>
        <w:pict>
          <v:shape id="_x0000_i1145" type="#_x0000_t75" style="width:.75pt;height:.75pt;mso-wrap-distance-left:6pt;mso-wrap-distance-right:6pt"/>
        </w:pict>
      </w:r>
      <w:r w:rsidR="00550B1A">
        <w:rPr>
          <w:sz w:val="26"/>
        </w:rPr>
        <w:t>Дипломатические отношения ОАЭ с Туркменистаном формально выведены на уровень послов в окт. 1995 г. Этому предшествовал ряд визитов в Дубай представителей туркменского руководства, в ходе которых было получено согласие (до сих пор не реализованное) на открытие в Дубае торгпредства с консульскими функциями.</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46" type="#_x0000_t75" style="width:.75pt;height:.75pt;mso-wrap-distance-left:6pt;mso-wrap-distance-right:6pt" o:bullet="t"/>
        </w:pict>
      </w:r>
      <w:r>
        <w:rPr>
          <w:sz w:val="26"/>
        </w:rPr>
        <w:pict>
          <v:shape id="_x0000_i1147" type="#_x0000_t75" style="width:.75pt;height:.75pt;mso-wrap-distance-left:6pt;mso-wrap-distance-right:6pt"/>
        </w:pict>
      </w:r>
      <w:r w:rsidR="00550B1A">
        <w:rPr>
          <w:sz w:val="26"/>
        </w:rPr>
        <w:t>В июне 1998 г. состоялся официальный визит в ОАЭ туркменского президента С.Ниязова, в рамках которого подписано пять двусторонних соглашений: о поощрении и защите инвестиций; об избежании двойного налогообложения; о сотрудничестве в области культуры, информации и туризма; о сотрудн. в области высшего образования и научных исследований; меморандум о взаимопонимании в области авиаперевозок.</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48" type="#_x0000_t75" style="width:.75pt;height:.75pt;mso-wrap-distance-left:6pt;mso-wrap-distance-right:6pt" o:bullet="t"/>
        </w:pict>
      </w:r>
      <w:r>
        <w:rPr>
          <w:sz w:val="26"/>
        </w:rPr>
        <w:pict>
          <v:shape id="_x0000_i1149" type="#_x0000_t75" style="width:.75pt;height:.75pt;mso-wrap-distance-left:6pt;mso-wrap-distance-right:6pt"/>
        </w:pict>
      </w:r>
      <w:r w:rsidR="00550B1A">
        <w:rPr>
          <w:sz w:val="26"/>
        </w:rPr>
        <w:t>Главным координатором развития эмиратско-туркменского сотрудничества является наследный принц Абу-Даби шейх Халифа бен Заид, имеющий тесные деловые и личные контакты с туркменским руководством и неоднократно посещавший эту страну. В окт. 1998 г. в Ашхабаде открылся построенный на средства шейха Халифы комплекс им. президента ОАЭ шейха Заида, включающий в себя торговый цeнтp, мeчeть, школу-интернат для детей-сирот и культурно-просветительский центр. Эмиратская сторона выделила 50 млн.долл. на строительство двух госпиталей под Ашхабадом. Продвигается двустороннее торгово-экономическое сотрудничество, планируется создание СП, в т.ч. для реализации туркменских газовых проектов.</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50" type="#_x0000_t75" style="width:.75pt;height:.75pt;mso-wrap-distance-left:6pt;mso-wrap-distance-right:6pt" o:bullet="t"/>
        </w:pict>
      </w:r>
      <w:r>
        <w:rPr>
          <w:sz w:val="26"/>
        </w:rPr>
        <w:pict>
          <v:shape id="_x0000_i1151" type="#_x0000_t75" style="width:.75pt;height:.75pt;mso-wrap-distance-left:6pt;mso-wrap-distance-right:6pt"/>
        </w:pict>
      </w:r>
      <w:r w:rsidR="00550B1A">
        <w:rPr>
          <w:sz w:val="26"/>
        </w:rPr>
        <w:t>В 1993 г. в Дубае открылось консульство Узбекистана, преобразованное в 1994 г. в генконсульство. В том же году Ташкент посетила торгово- экономическая делегация Дубая. В 1997-98 гг. состоялся обмен делегациями по линии ТПП. Основной экономический партнер Узбекистана в ОАЭ – эмират Шарджа. Объем реэкспортной торговли достигает 60 млн.долл. в год. В основном это продукция агрохимии, бытовая электроника, продовольствие, пластмассовые изделия, текстиль, обувь. В 1998 г. заключен крупный контракт на поставку медпрепаратов, производимых в СЭЗ Дубая. В Узбекистане работают более 50 эмиратских компаний.</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52" type="#_x0000_t75" style="width:.75pt;height:.75pt;mso-wrap-distance-left:6pt;mso-wrap-distance-right:6pt" o:bullet="t"/>
        </w:pict>
      </w:r>
      <w:r>
        <w:rPr>
          <w:sz w:val="26"/>
        </w:rPr>
        <w:pict>
          <v:shape id="_x0000_i1153" type="#_x0000_t75" style="width:.75pt;height:.75pt;mso-wrap-distance-left:6pt;mso-wrap-distance-right:6pt"/>
        </w:pict>
      </w:r>
      <w:r w:rsidR="00550B1A">
        <w:rPr>
          <w:sz w:val="26"/>
        </w:rPr>
        <w:t>Активизировал свои контакты с ОАЭ Казахстан. В 1997 г. подписано соглашение о сотрудничестве по линии ТПП и соглашение о подготовке в Дубае казахских авиадиспетчеров и работников наземных служб. В Алма-Ате с успехом прошла торгово-промышленная выставка ОАЭ, открылся Торговый центр Казахстана в Дубае. Объем реэкспортной торговли с Дубаем составил более 20 млн.долл. С нояб. 1995 г. в Алма-Ате действует представительство одной из благотворительных организаций Абу-Даби, параллельно представляющее интересы эмиратских бизнесменов.</w:t>
      </w:r>
      <w:r w:rsidR="00550B1A">
        <w:rPr>
          <w:sz w:val="26"/>
        </w:rPr>
        <w:br/>
      </w:r>
      <w:r>
        <w:rPr>
          <w:sz w:val="26"/>
        </w:rPr>
        <w:pict>
          <v:shape id="_x0000_i1154" type="#_x0000_t75" style="width:.75pt;height:.75pt;mso-wrap-distance-left:6pt;mso-wrap-distance-right:6pt"/>
        </w:pict>
      </w:r>
      <w:r w:rsidR="00550B1A">
        <w:rPr>
          <w:sz w:val="26"/>
        </w:rPr>
        <w:t>В мае 1998 г. состоялся визит Н.Назарбаева, в ходе которого подписаны соглашения о поощрении и защите инвестиций и избежании двойного налогообложения. Достигнута договоренность об открытии посольств, о выделении Абу-дабийским фондом развития кредита на развитие дорожной сети Казахстана. С марта 1999 г. казахское консульство в Дубае преобразовано в генконсульство, одновременно выполняющее функции официального представительства ТПП Казахстана. Шла подготовка к визиту в 1999 г. в ОАЭ казахского министра торговли и проведению выставки промтоваров.</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55" type="#_x0000_t75" style="width:.75pt;height:.75pt;mso-wrap-distance-left:6pt;mso-wrap-distance-right:6pt" o:bullet="t"/>
        </w:pict>
      </w:r>
      <w:r>
        <w:rPr>
          <w:sz w:val="26"/>
        </w:rPr>
        <w:pict>
          <v:shape id="_x0000_i1156" type="#_x0000_t75" style="width:.75pt;height:.75pt;mso-wrap-distance-left:6pt;mso-wrap-distance-right:6pt"/>
        </w:pict>
      </w:r>
      <w:r w:rsidR="00550B1A">
        <w:rPr>
          <w:sz w:val="26"/>
        </w:rPr>
        <w:t>В декабре 1995 г. Эмираты с официальным визитом посетил президент Таджикистана Э.Рахмонов. Было объявлено о намерении сторон установить дипотношения на уровне послов, подписаны соглашения о поощрении и защите инвестиций и избежании двойного налогообложения. В совместном заявлении стороны осудили терроризм, призвали межд. сообщество к объединению усилий в борьбе с этим злом. Таджикский президент поддержал эмиратский подход к решению территориального спора ОАЭ с Ираном: путем двусторонних переговоров или через международный суд. Эмиратской стороне были переданы инвестиц. проекты в области электрификации, мелиорации и строительства железных дорог. Однако дальнейшего развития двусторонние отношения пока не получили.</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57" type="#_x0000_t75" style="width:.75pt;height:.75pt;mso-wrap-distance-left:6pt;mso-wrap-distance-right:6pt" o:bullet="t"/>
        </w:pict>
      </w:r>
      <w:r>
        <w:rPr>
          <w:sz w:val="26"/>
        </w:rPr>
        <w:pict>
          <v:shape id="_x0000_i1158" type="#_x0000_t75" style="width:.75pt;height:.75pt;mso-wrap-distance-left:6pt;mso-wrap-distance-right:6pt"/>
        </w:pict>
      </w:r>
      <w:r w:rsidR="00550B1A">
        <w:rPr>
          <w:sz w:val="26"/>
        </w:rPr>
        <w:t>К расширению торг.-эконом. сотрудничества с ОАЭ приступил и Киргизстан. Дипотношения между двумя странами установлены в авг. 1996 г. В янв. 1999 г. открылось киргизское консульство в Дубае. В СЭЗ Джебель-Али действует СП. Киргизы активно работают над привлечением эмиратских инвестиций в золотодобычу, развитие транспортной инфраструктуры (в рамках проекта «Великий шелковый путь») и туристический бизнес. Объем эмиратского реэкспорта в Киргизию пока не превышает 1 млн.долл. в год (без учета «челночной» торговли). Обсуждается вопрос открытия киргизского посольства, состоялся обмен делегациями ТПП, готовятся к подписанию соглашения о поощрении и защите инвестиций и избежании двойного налогообложения.</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59" type="#_x0000_t75" style="width:.75pt;height:.75pt;mso-wrap-distance-left:6pt;mso-wrap-distance-right:6pt" o:bullet="t"/>
        </w:pict>
      </w:r>
      <w:r>
        <w:rPr>
          <w:sz w:val="26"/>
        </w:rPr>
        <w:pict>
          <v:shape id="_x0000_i1160" type="#_x0000_t75" style="width:.75pt;height:.75pt;mso-wrap-distance-left:6pt;mso-wrap-distance-right:6pt"/>
        </w:pict>
      </w:r>
      <w:r w:rsidR="00550B1A">
        <w:rPr>
          <w:sz w:val="26"/>
        </w:rPr>
        <w:t>Азербайджан занимал в 1997 г. шестое место в списке основных торговых партнеров Дубая. Хотя эмиратские бизнесмены и проявляют интерес к азерб. нефтепроектам и сопутствующей инфраструктуре, им трудно конкурировать в этой области с западными и турецкими фирмами. На закавказском направлении активно работают дубайские компании Al Habtoor Group и Еmaar Properties.</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61" type="#_x0000_t75" style="width:.75pt;height:.75pt;mso-wrap-distance-left:6pt;mso-wrap-distance-right:6pt" o:bullet="t"/>
        </w:pict>
      </w:r>
      <w:r>
        <w:rPr>
          <w:sz w:val="26"/>
        </w:rPr>
        <w:pict>
          <v:shape id="_x0000_i1162" type="#_x0000_t75" style="width:.75pt;height:.75pt;mso-wrap-distance-left:6pt;mso-wrap-distance-right:6pt"/>
        </w:pict>
      </w:r>
      <w:r w:rsidR="00550B1A">
        <w:rPr>
          <w:sz w:val="26"/>
        </w:rPr>
        <w:t>Дипотношения между ОАЭ и Украиной установлены в окт. 1992 г. В апр. 1993 г. Эмираты посетила делегация во главе с премьер-министром Л.Кучмой, и в янв. 1994 г. в Абу-Даби открылось украинское посольство. ОАЭ регулярно посещают делегации министерств и ведомств. В марте 1995 г. стороны заключили соглашение о торг.-эконом. сотрудничестве. Осуществляется делегационный обмен по линии ТПП, проводятся выставки промтоваров в Шардже. Товарооборот в 1998 г. составил 80 млн.долл.</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63" type="#_x0000_t75" style="width:.75pt;height:.75pt;mso-wrap-distance-left:6pt;mso-wrap-distance-right:6pt" o:bullet="t"/>
        </w:pict>
      </w:r>
      <w:r>
        <w:rPr>
          <w:sz w:val="26"/>
        </w:rPr>
        <w:pict>
          <v:shape id="_x0000_i1164" type="#_x0000_t75" style="width:.75pt;height:.75pt;mso-wrap-distance-left:6pt;mso-wrap-distance-right:6pt"/>
        </w:pict>
      </w:r>
      <w:r w:rsidR="00550B1A">
        <w:rPr>
          <w:sz w:val="26"/>
        </w:rPr>
        <w:t>Киеву пока не удалось продвинуть продукцию своей оборонки на эмиратский рынок. С 1997 г. украинцы регулярно принимают участие в межд. выставке вооружений IDEX. В 1999 г. ими были представлены 64 образца военной техники. Возглавлял делегацию минобороны  О. Кузьмук. Попытки привлечь эмиратские инвестиции в украинскую экономику (судо- и авиастроение, металлургия и электротехника) также пока не приносят ощутимых результатов.</w:t>
      </w:r>
    </w:p>
    <w:p w:rsidR="00550B1A" w:rsidRDefault="00E507C6">
      <w:pPr>
        <w:tabs>
          <w:tab w:val="num" w:pos="-1440"/>
        </w:tabs>
        <w:spacing w:before="100" w:beforeAutospacing="1" w:after="100" w:afterAutospacing="1" w:line="360" w:lineRule="auto"/>
        <w:ind w:firstLine="567"/>
        <w:jc w:val="both"/>
        <w:rPr>
          <w:sz w:val="26"/>
        </w:rPr>
      </w:pPr>
      <w:r>
        <w:rPr>
          <w:sz w:val="26"/>
        </w:rPr>
        <w:pict>
          <v:shape id="_x0000_i1165" type="#_x0000_t75" style="width:.75pt;height:.75pt;mso-wrap-distance-left:6pt;mso-wrap-distance-right:6pt" o:bullet="t"/>
        </w:pict>
      </w:r>
      <w:r>
        <w:rPr>
          <w:sz w:val="26"/>
        </w:rPr>
        <w:pict>
          <v:shape id="_x0000_i1166" type="#_x0000_t75" style="width:.75pt;height:.75pt;mso-wrap-distance-left:6pt;mso-wrap-distance-right:6pt"/>
        </w:pict>
      </w:r>
      <w:r w:rsidR="00550B1A">
        <w:rPr>
          <w:sz w:val="26"/>
        </w:rPr>
        <w:t>В 1999 г. белорусам удалось заключить два контракта общей стоимостью около 30 млн.долл. на создание в ОАЭ линии капремонта боевой техники российского производства и ее оснащение белорусскими прицелами. Каких-либо официальных представительств Беларуси в ОАЭ нет. Максимальный объем товарооборота приходится на 1995 г., когда он составил 16 млн.долл. В ОАЭ дважды за первые месяцы 1999 г. побывал зампремьера, мининдел У.Латыпов. Он заявил о намерении Беларуси открыть до конца 1999 г. посольство в Абу-Даби.</w:t>
      </w:r>
    </w:p>
    <w:p w:rsidR="00550B1A" w:rsidRDefault="00550B1A">
      <w:pPr>
        <w:tabs>
          <w:tab w:val="num" w:pos="-1440"/>
        </w:tabs>
        <w:ind w:firstLine="567"/>
        <w:jc w:val="both"/>
        <w:rPr>
          <w:sz w:val="26"/>
        </w:rPr>
      </w:pPr>
    </w:p>
    <w:p w:rsidR="00550B1A" w:rsidRDefault="00550B1A">
      <w:bookmarkStart w:id="0" w:name="_GoBack"/>
      <w:bookmarkEnd w:id="0"/>
    </w:p>
    <w:sectPr w:rsidR="00550B1A">
      <w:footerReference w:type="even" r:id="rId6"/>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1A" w:rsidRDefault="00550B1A">
      <w:r>
        <w:separator/>
      </w:r>
    </w:p>
  </w:endnote>
  <w:endnote w:type="continuationSeparator" w:id="0">
    <w:p w:rsidR="00550B1A" w:rsidRDefault="0055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1A" w:rsidRDefault="00550B1A">
    <w:pPr>
      <w:pStyle w:val="a4"/>
      <w:framePr w:wrap="around" w:vAnchor="text" w:hAnchor="margin" w:xAlign="right" w:y="1"/>
      <w:rPr>
        <w:rStyle w:val="a5"/>
      </w:rPr>
    </w:pPr>
  </w:p>
  <w:p w:rsidR="00550B1A" w:rsidRDefault="00550B1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1A" w:rsidRDefault="0057497A">
    <w:pPr>
      <w:pStyle w:val="a4"/>
      <w:framePr w:wrap="around" w:vAnchor="text" w:hAnchor="margin" w:xAlign="right" w:y="1"/>
      <w:rPr>
        <w:rStyle w:val="a5"/>
      </w:rPr>
    </w:pPr>
    <w:r>
      <w:rPr>
        <w:rStyle w:val="a5"/>
        <w:noProof/>
      </w:rPr>
      <w:t>2</w:t>
    </w:r>
  </w:p>
  <w:p w:rsidR="00550B1A" w:rsidRDefault="00550B1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1A" w:rsidRDefault="00550B1A">
      <w:r>
        <w:separator/>
      </w:r>
    </w:p>
  </w:footnote>
  <w:footnote w:type="continuationSeparator" w:id="0">
    <w:p w:rsidR="00550B1A" w:rsidRDefault="00550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97A"/>
    <w:rsid w:val="00550B1A"/>
    <w:rsid w:val="0057497A"/>
    <w:rsid w:val="0060535E"/>
    <w:rsid w:val="00E50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8"/>
    <o:shapelayout v:ext="edit">
      <o:idmap v:ext="edit" data="1"/>
    </o:shapelayout>
  </w:shapeDefaults>
  <w:decimalSymbol w:val=","/>
  <w:listSeparator w:val=";"/>
  <w15:chartTrackingRefBased/>
  <w15:docId w15:val="{D7642174-19AF-4A49-9057-008F687A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spacing w:line="360" w:lineRule="auto"/>
      <w:ind w:left="120" w:firstLine="306"/>
      <w:jc w:val="both"/>
    </w:pPr>
    <w:rPr>
      <w:color w:val="000000"/>
      <w:sz w:val="28"/>
      <w:szCs w:val="28"/>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5686</Words>
  <Characters>32413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Экономика</vt:lpstr>
    </vt:vector>
  </TitlesOfParts>
  <Company/>
  <LinksUpToDate>false</LinksUpToDate>
  <CharactersWithSpaces>38023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Экономика</dc:title>
  <dc:subject/>
  <dc:creator>Renat Mustafayev</dc:creator>
  <cp:keywords/>
  <dc:description/>
  <cp:lastModifiedBy>admin</cp:lastModifiedBy>
  <cp:revision>2</cp:revision>
  <dcterms:created xsi:type="dcterms:W3CDTF">2014-02-07T11:09:00Z</dcterms:created>
  <dcterms:modified xsi:type="dcterms:W3CDTF">2014-02-07T11:09:00Z</dcterms:modified>
</cp:coreProperties>
</file>