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FDF" w:rsidRPr="00096B7C" w:rsidRDefault="00791FDF" w:rsidP="00791FDF">
      <w:pPr>
        <w:spacing w:before="120"/>
        <w:jc w:val="center"/>
        <w:rPr>
          <w:b/>
          <w:bCs/>
          <w:sz w:val="32"/>
          <w:szCs w:val="32"/>
        </w:rPr>
      </w:pPr>
      <w:r w:rsidRPr="00096B7C">
        <w:rPr>
          <w:b/>
          <w:bCs/>
          <w:sz w:val="32"/>
          <w:szCs w:val="32"/>
        </w:rPr>
        <w:t>Налог на игорный бизнес. Отчетность по налогу. Уплата налога.</w:t>
      </w:r>
    </w:p>
    <w:p w:rsidR="00791FDF" w:rsidRPr="00096B7C" w:rsidRDefault="00791FDF" w:rsidP="00791FDF">
      <w:pPr>
        <w:spacing w:before="120"/>
        <w:jc w:val="center"/>
        <w:rPr>
          <w:b/>
          <w:bCs/>
          <w:sz w:val="28"/>
          <w:szCs w:val="28"/>
        </w:rPr>
      </w:pPr>
      <w:r w:rsidRPr="00096B7C">
        <w:rPr>
          <w:b/>
          <w:bCs/>
          <w:sz w:val="28"/>
          <w:szCs w:val="28"/>
        </w:rPr>
        <w:t>Сроки и способы представления декларации</w:t>
      </w:r>
    </w:p>
    <w:p w:rsidR="00791FDF" w:rsidRPr="00B369EA" w:rsidRDefault="00791FDF" w:rsidP="00791FDF">
      <w:pPr>
        <w:spacing w:before="120"/>
        <w:ind w:firstLine="567"/>
        <w:jc w:val="both"/>
      </w:pPr>
      <w:r w:rsidRPr="00B369EA">
        <w:t>Согласно пункту 2 статьи 370 Налогового кодекса Российской Федерации (далее НК РФ) налоговая декларация за истекший налоговый период представляется налогоплательщиком в налоговый орган по месту регистрации объектов налогообложения не позднее 20 числа месяца, следующего за истекшим налоговым периодом.</w:t>
      </w:r>
    </w:p>
    <w:p w:rsidR="00791FDF" w:rsidRPr="00B369EA" w:rsidRDefault="00791FDF" w:rsidP="00791FDF">
      <w:pPr>
        <w:spacing w:before="120"/>
        <w:ind w:firstLine="567"/>
        <w:jc w:val="both"/>
      </w:pPr>
      <w:r w:rsidRPr="00B369EA">
        <w:t>Поскольку налоговым периодом по налогу на игорный бизнес является календарный месяц, то налогоплательщик обязан не позднее 20 числа месяца, следующего за истекшим месяцем периодом, представить в налоговую инспекцию налоговую декларацию. Таким образом, декларация за январь должна быть представлена не позднее 20 февраля, за февраль - не позднее 20 марта и так далее.</w:t>
      </w:r>
    </w:p>
    <w:p w:rsidR="00791FDF" w:rsidRPr="00B369EA" w:rsidRDefault="00791FDF" w:rsidP="00791FDF">
      <w:pPr>
        <w:spacing w:before="120"/>
        <w:ind w:firstLine="567"/>
        <w:jc w:val="both"/>
      </w:pPr>
      <w:r w:rsidRPr="00B369EA">
        <w:t>Напоминаем читателям, что согласно статье 6.1. НК РФ установленный законодательством о налогах и сборах срок определяется календарной датой или истечением периода времени.</w:t>
      </w:r>
    </w:p>
    <w:p w:rsidR="00791FDF" w:rsidRPr="00B369EA" w:rsidRDefault="00791FDF" w:rsidP="00791FDF">
      <w:pPr>
        <w:spacing w:before="120"/>
        <w:ind w:firstLine="567"/>
        <w:jc w:val="both"/>
      </w:pPr>
      <w:r w:rsidRPr="00B369EA">
        <w:t>Если последний день срока падает на нерабочий день, днем окончания срока считается ближайший следующий за ним рабочий день.</w:t>
      </w:r>
    </w:p>
    <w:p w:rsidR="00791FDF" w:rsidRPr="00B369EA" w:rsidRDefault="00791FDF" w:rsidP="00791FDF">
      <w:pPr>
        <w:spacing w:before="120"/>
        <w:ind w:firstLine="567"/>
        <w:jc w:val="both"/>
      </w:pPr>
      <w:r w:rsidRPr="00B369EA">
        <w:t>Действие, для совершения которого установлен срок, может быть выполнено до двадцати четырех часов последнего дня срока. Если документы либо денежные суммы были сданы на почту или на телеграф до двадцати четырех часов последнего дня срока, то срок не считается пропущенным.</w:t>
      </w:r>
    </w:p>
    <w:p w:rsidR="00791FDF" w:rsidRPr="00B369EA" w:rsidRDefault="00791FDF" w:rsidP="00791FDF">
      <w:pPr>
        <w:spacing w:before="120"/>
        <w:ind w:firstLine="567"/>
        <w:jc w:val="both"/>
      </w:pPr>
      <w:r w:rsidRPr="00B369EA">
        <w:t>Налоговая декларация, в соответствии со статьей 80 НК РФ, представляется в налоговый орган по месту учета налогоплательщика по установленной форме на бумажном носителе или в электронном виде в соответствии с законодательством Российской Федерации, причем бланки налоговых деклараций должны предоставляться налоговыми органами бесплатно.</w:t>
      </w:r>
    </w:p>
    <w:p w:rsidR="00791FDF" w:rsidRPr="00B369EA" w:rsidRDefault="00791FDF" w:rsidP="00791FDF">
      <w:pPr>
        <w:spacing w:before="120"/>
        <w:ind w:firstLine="567"/>
        <w:jc w:val="both"/>
      </w:pPr>
      <w:r w:rsidRPr="00B369EA">
        <w:t xml:space="preserve">Налоговая декларация может быть представлена налогоплательщиком в налоговый орган следующими способами: </w:t>
      </w:r>
    </w:p>
    <w:p w:rsidR="00791FDF" w:rsidRPr="00B369EA" w:rsidRDefault="00791FDF" w:rsidP="00791FDF">
      <w:pPr>
        <w:spacing w:before="120"/>
        <w:ind w:firstLine="567"/>
        <w:jc w:val="both"/>
      </w:pPr>
      <w:r w:rsidRPr="00B369EA">
        <w:t xml:space="preserve">лично или через его представителя; </w:t>
      </w:r>
    </w:p>
    <w:p w:rsidR="00791FDF" w:rsidRPr="00B369EA" w:rsidRDefault="00791FDF" w:rsidP="00791FDF">
      <w:pPr>
        <w:spacing w:before="120"/>
        <w:ind w:firstLine="567"/>
        <w:jc w:val="both"/>
      </w:pPr>
      <w:r w:rsidRPr="00B369EA">
        <w:t xml:space="preserve">направлена в виде почтового отправления с описью вложения; </w:t>
      </w:r>
    </w:p>
    <w:p w:rsidR="00791FDF" w:rsidRPr="00B369EA" w:rsidRDefault="00791FDF" w:rsidP="00791FDF">
      <w:pPr>
        <w:spacing w:before="120"/>
        <w:ind w:firstLine="567"/>
        <w:jc w:val="both"/>
      </w:pPr>
      <w:r w:rsidRPr="00B369EA">
        <w:t xml:space="preserve">передана по телекоммуникационным каналам связи. </w:t>
      </w:r>
    </w:p>
    <w:p w:rsidR="00791FDF" w:rsidRPr="00B369EA" w:rsidRDefault="00791FDF" w:rsidP="00791FDF">
      <w:pPr>
        <w:spacing w:before="120"/>
        <w:ind w:firstLine="567"/>
        <w:jc w:val="both"/>
      </w:pPr>
      <w:r w:rsidRPr="00B369EA">
        <w:t>При представлении налоговой декларации лично или через представителя налоговый орган не имеет права отказать в принятии налоговой декларации и обязан по просьбе налогоплательщика проставить отметку на копии налоговой декларации о принятии и дату ее представления. При отправке налоговой декларации по почте днем ее представления считается дата отправки почтового отправления с описью вложения.</w:t>
      </w:r>
    </w:p>
    <w:p w:rsidR="00791FDF" w:rsidRPr="00B369EA" w:rsidRDefault="00791FDF" w:rsidP="00791FDF">
      <w:pPr>
        <w:spacing w:before="120"/>
        <w:ind w:firstLine="567"/>
        <w:jc w:val="both"/>
      </w:pPr>
      <w:r w:rsidRPr="00B369EA">
        <w:t>При передаче налоговой декларации по телекоммуникационным каналам связи днем ее представления считается дата ее отправки. При получении налоговой декларации таким способом налоговый орган обязан передать налогоплательщику квитанцию о приемке в электронном виде. Порядок представления налоговой декларации в электронном виде по телекоммуникационным каналам связи утвержден Приказом МНС Российской Федерации от 2 апреля 2002 года №БГ-3-32/169 "Об утверждении порядка представления налоговой декларации в электронном виде по телекоммуникационным каналам связи".</w:t>
      </w:r>
    </w:p>
    <w:p w:rsidR="00791FDF" w:rsidRPr="00B369EA" w:rsidRDefault="00791FDF" w:rsidP="00791FDF">
      <w:pPr>
        <w:spacing w:before="120"/>
        <w:ind w:firstLine="567"/>
        <w:jc w:val="both"/>
      </w:pPr>
      <w:r w:rsidRPr="00B369EA">
        <w:t>Форма налоговой декларации и инструкция о порядке ее заполнения утверждена Приказом Минфина Российской Федерации от 1 ноября 2004 года №97н "Об утверждении формы налоговой декларации по налогу на игорный бизнес и инструкции о порядке ее заполнения".</w:t>
      </w:r>
    </w:p>
    <w:p w:rsidR="00791FDF" w:rsidRPr="00B369EA" w:rsidRDefault="00791FDF" w:rsidP="00791FDF">
      <w:pPr>
        <w:spacing w:before="120"/>
        <w:ind w:firstLine="567"/>
        <w:jc w:val="both"/>
      </w:pPr>
      <w:r w:rsidRPr="00B369EA">
        <w:t>Налоговая декларация заполняется налогоплательщиком за каждый налоговый период, то есть ежемесячно, с учетом изменения количества объектов налогообложения за истекший налоговый период. В каждой строке декларации и соответствующей ей графе следует указывать только один показатель. В том случае, если какой-либо предусмотренный декларацией показатель отсутствует, в соответствующей строке и графе ставится прочерк.</w:t>
      </w:r>
    </w:p>
    <w:p w:rsidR="00791FDF" w:rsidRPr="00B369EA" w:rsidRDefault="00791FDF" w:rsidP="00791FDF">
      <w:pPr>
        <w:spacing w:before="120"/>
        <w:ind w:firstLine="567"/>
        <w:jc w:val="both"/>
      </w:pPr>
      <w:r w:rsidRPr="00B369EA">
        <w:t>Если при заполнении декларации допущена ошибка, неправильное значение показателя необходимо перечеркнуть, вписать правильное значение. Исправление заверяется подписями должностных лиц организации, а также ее печатью, или подписью индивидуального предпринимателя с указанием даты исправления. Следует учесть, что исправление ошибок с помощью корректирующего или иного аналогичного средства не допускается.</w:t>
      </w:r>
    </w:p>
    <w:p w:rsidR="00791FDF" w:rsidRPr="00B369EA" w:rsidRDefault="00791FDF" w:rsidP="00791FDF">
      <w:pPr>
        <w:spacing w:before="120"/>
        <w:ind w:firstLine="567"/>
        <w:jc w:val="both"/>
      </w:pPr>
      <w:r w:rsidRPr="00B369EA">
        <w:t>Все страницы налоговой декларации должны быть пронумерованы, на каждой из них следует указать идентификационный номер налогоплательщика (далее ИНН) и код причины постановки на учет (далее КПП) организации или ИНН индивидуального предпринимателя.</w:t>
      </w:r>
    </w:p>
    <w:p w:rsidR="00791FDF" w:rsidRPr="00096B7C" w:rsidRDefault="00791FDF" w:rsidP="00791FDF">
      <w:pPr>
        <w:spacing w:before="120"/>
        <w:jc w:val="center"/>
        <w:rPr>
          <w:b/>
          <w:bCs/>
          <w:sz w:val="28"/>
          <w:szCs w:val="28"/>
        </w:rPr>
      </w:pPr>
      <w:r w:rsidRPr="00096B7C">
        <w:rPr>
          <w:b/>
          <w:bCs/>
          <w:sz w:val="28"/>
          <w:szCs w:val="28"/>
        </w:rPr>
        <w:t>Порядок уплаты налога</w:t>
      </w:r>
    </w:p>
    <w:p w:rsidR="00791FDF" w:rsidRPr="00B369EA" w:rsidRDefault="00791FDF" w:rsidP="00791FDF">
      <w:pPr>
        <w:spacing w:before="120"/>
        <w:ind w:firstLine="567"/>
        <w:jc w:val="both"/>
      </w:pPr>
      <w:r w:rsidRPr="00B369EA">
        <w:t>Согласно статье 12 НК РФ в Российской Федерации установлены федеральные, региональные и местные налоги и сборы. Региональными признаются налоги, которые установлены НК РФ и законами субъектов Российской Федерации о налогах и обязательны к уплате на территориях соответствующих субъектов Российской Федерации. Налог на игорный бизнес статьей 14 НК РФ отнесен к региональным налогам. Согласно статье 371 НК РФ сумма налога, подлежащая уплате по итогам налогового периода, уплачивается налогоплательщиком по месту регистрации в налоговом органе объектов налогообложения не позднее срока, установленного для подачи налоговой декларации за соответствующий налоговый период, то есть не позднее 20 числа месяца, следующего за отчетным месяцем.</w:t>
      </w:r>
    </w:p>
    <w:p w:rsidR="00791FDF" w:rsidRPr="00B369EA" w:rsidRDefault="00791FDF" w:rsidP="00791FDF">
      <w:pPr>
        <w:spacing w:before="120"/>
        <w:ind w:firstLine="567"/>
        <w:jc w:val="both"/>
      </w:pPr>
      <w:r w:rsidRPr="00B369EA">
        <w:t>Из Письма МНС Российской Федерации от 15 марта 2004 года №22-0-10/425@ "О постановке на учет в налоговом органе объектов налогообложения налогом на игорный бизнес" следует, что уплата налога на игорный бизнес при наличии у организации обособленного подразделения как имеющего отдельный баланс и расчетный (текущий) счет, так и не имеющего их, должна производиться по месту нахождения обособленного подразделения организации, по ставке, установленной в соответствии со статьей 369 НК РФ на территории субъекта Российской Федерации по месту осуществления организацией деятельности в сфере игорного бизнеса, через обособленное подразделение.</w:t>
      </w:r>
    </w:p>
    <w:p w:rsidR="00791FDF" w:rsidRPr="00B369EA" w:rsidRDefault="00791FDF" w:rsidP="00791FDF">
      <w:pPr>
        <w:spacing w:before="120"/>
        <w:ind w:firstLine="567"/>
        <w:jc w:val="both"/>
      </w:pPr>
      <w:r w:rsidRPr="00B369EA">
        <w:t>Индивидуальный предприниматель, осуществляющий предпринимательскую деятельность в сфере игорного бизнеса на территории субъекта Российской Федерации по месту своего жительства, а также на территории других субъектов Российской Федерации, обязан поставить все имеющиеся объекты налогообложения налогом на игорный бизнес на учет в налоговом органе по месту своего жительства. При этом уплата налога на игорный бизнес в вышеуказанных случаях должна производиться индивидуальным предпринимателем по месту жительства индивидуального предпринимателя по ставке, установленной законодательными органами данного субъекта Российской Федерации.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FDF"/>
    <w:rsid w:val="00096B7C"/>
    <w:rsid w:val="00616072"/>
    <w:rsid w:val="006B051D"/>
    <w:rsid w:val="00791FDF"/>
    <w:rsid w:val="008B35EE"/>
    <w:rsid w:val="008C7F0C"/>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DB4ECF-2257-407F-A76D-F3D92BAE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FD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91FDF"/>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3967</Words>
  <Characters>2262</Characters>
  <Application>Microsoft Office Word</Application>
  <DocSecurity>0</DocSecurity>
  <Lines>18</Lines>
  <Paragraphs>12</Paragraphs>
  <ScaleCrop>false</ScaleCrop>
  <Company>Home</Company>
  <LinksUpToDate>false</LinksUpToDate>
  <CharactersWithSpaces>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 на игорный бизнес</dc:title>
  <dc:subject/>
  <dc:creator>User</dc:creator>
  <cp:keywords/>
  <dc:description/>
  <cp:lastModifiedBy>admin</cp:lastModifiedBy>
  <cp:revision>2</cp:revision>
  <dcterms:created xsi:type="dcterms:W3CDTF">2014-01-25T08:48:00Z</dcterms:created>
  <dcterms:modified xsi:type="dcterms:W3CDTF">2014-01-25T08:48:00Z</dcterms:modified>
</cp:coreProperties>
</file>