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BC3" w:rsidRPr="007F32B4" w:rsidRDefault="00702BC3" w:rsidP="00702BC3">
      <w:pPr>
        <w:spacing w:before="120"/>
        <w:jc w:val="center"/>
        <w:rPr>
          <w:b/>
          <w:bCs/>
          <w:sz w:val="32"/>
          <w:szCs w:val="32"/>
        </w:rPr>
      </w:pPr>
      <w:r w:rsidRPr="007F32B4">
        <w:rPr>
          <w:b/>
          <w:bCs/>
          <w:sz w:val="32"/>
          <w:szCs w:val="32"/>
        </w:rPr>
        <w:t>К генеалогии музыкальной орнаментики</w:t>
      </w:r>
    </w:p>
    <w:p w:rsidR="00702BC3" w:rsidRPr="007F32B4" w:rsidRDefault="00702BC3" w:rsidP="00702BC3">
      <w:pPr>
        <w:spacing w:before="120"/>
        <w:jc w:val="center"/>
        <w:rPr>
          <w:sz w:val="28"/>
          <w:szCs w:val="28"/>
        </w:rPr>
      </w:pPr>
      <w:r w:rsidRPr="007F32B4">
        <w:rPr>
          <w:sz w:val="28"/>
          <w:szCs w:val="28"/>
        </w:rPr>
        <w:t>А.М. Жихаревич</w:t>
      </w:r>
    </w:p>
    <w:p w:rsidR="00702BC3" w:rsidRPr="007F32B4" w:rsidRDefault="00702BC3" w:rsidP="00702BC3">
      <w:pPr>
        <w:spacing w:before="120"/>
        <w:ind w:firstLine="567"/>
        <w:jc w:val="both"/>
      </w:pPr>
      <w:r w:rsidRPr="007F32B4">
        <w:t>Любое обращение к старинной музыке неизбежно сталкивается с трудностями интерпретации. В ряду таковых не последнее место занимают проблемы орнаментики, породившие огромное количество методической и теоретической литературы.</w:t>
      </w:r>
    </w:p>
    <w:p w:rsidR="00702BC3" w:rsidRPr="007F32B4" w:rsidRDefault="00702BC3" w:rsidP="00702BC3">
      <w:pPr>
        <w:spacing w:before="120"/>
        <w:ind w:firstLine="567"/>
        <w:jc w:val="both"/>
      </w:pPr>
      <w:r w:rsidRPr="007F32B4">
        <w:t>Предлагаемый анализ, намеренно дистанцируясь от музыковедческой конкретики, ставит целью наметить общий интерпретативный план в отношении орнаментики, т.е. определиться с полем возможных герменевтических практик. Вынесенная в заглавие «генеалогия» в этом смысле является лишь попыткой коррекции угла зрения, ибо «то, что обнаруживается в историческом начале вещей</w:t>
      </w:r>
      <w:r>
        <w:t xml:space="preserve"> </w:t>
      </w:r>
      <w:r w:rsidRPr="007F32B4">
        <w:t>— это не идентичность, это распря других вещей, это несоответствие»</w:t>
      </w:r>
      <w:r>
        <w:t xml:space="preserve"> </w:t>
      </w:r>
      <w:r w:rsidRPr="007F32B4">
        <w:t xml:space="preserve"> (М.</w:t>
      </w:r>
      <w:r>
        <w:t xml:space="preserve"> </w:t>
      </w:r>
      <w:r w:rsidRPr="007F32B4">
        <w:t>Фуко. Ницше, генеалогия, история</w:t>
      </w:r>
      <w:r>
        <w:t xml:space="preserve"> </w:t>
      </w:r>
      <w:r w:rsidRPr="007F32B4">
        <w:t>// Философия эпохи постмодерна. Минск,</w:t>
      </w:r>
      <w:r>
        <w:t xml:space="preserve"> </w:t>
      </w:r>
      <w:r w:rsidRPr="007F32B4">
        <w:t>1996, с 80).</w:t>
      </w:r>
    </w:p>
    <w:p w:rsidR="00702BC3" w:rsidRPr="007F32B4" w:rsidRDefault="00702BC3" w:rsidP="00702BC3">
      <w:pPr>
        <w:spacing w:before="120"/>
        <w:ind w:firstLine="567"/>
        <w:jc w:val="both"/>
      </w:pPr>
      <w:r w:rsidRPr="007F32B4">
        <w:t>Дабы внести некоторую терминологическую определенность, придется, видимо, отказаться от термина «мелизм», используемого современным музыкознанием относительно мелодических украшений. В самом деле, греческое melosma есть «песнь, мелодия»; но в качестве «исторической семантики» сюда привходят взаимодействие григорианского хорала с византийской певческой школой и восточными влияниями вообще, а также противостояние силлабического стиля пения мелизматическому; в XVI</w:t>
      </w:r>
      <w:r>
        <w:t xml:space="preserve"> </w:t>
      </w:r>
      <w:r w:rsidRPr="007F32B4">
        <w:t>— XVII</w:t>
      </w:r>
      <w:r>
        <w:t xml:space="preserve"> </w:t>
      </w:r>
      <w:r w:rsidRPr="007F32B4">
        <w:t>вв. термин применяют к предназначенным для пения музыкальным сочинениям, написанным на поэтический текст, а stilus melismaticus есть простой, без украшений, певческий стиль. Такой многозначности, как кажется, «слишком много». Напротив, орнаментика (от лат. ornamentum</w:t>
      </w:r>
      <w:r>
        <w:t xml:space="preserve"> </w:t>
      </w:r>
      <w:r w:rsidRPr="007F32B4">
        <w:t>— украшение) видится гораздо более определенной формулировкой.</w:t>
      </w:r>
    </w:p>
    <w:p w:rsidR="00702BC3" w:rsidRPr="007F32B4" w:rsidRDefault="00702BC3" w:rsidP="00702BC3">
      <w:pPr>
        <w:spacing w:before="120"/>
        <w:ind w:firstLine="567"/>
        <w:jc w:val="both"/>
      </w:pPr>
      <w:r w:rsidRPr="007F32B4">
        <w:t>Традиционное музыковедение связывает исток орнаментики с импровизацией (см. напр. Музыкальная энциклопедия, т.</w:t>
      </w:r>
      <w:r>
        <w:t xml:space="preserve"> </w:t>
      </w:r>
      <w:r w:rsidRPr="007F32B4">
        <w:t>4, стб.</w:t>
      </w:r>
      <w:r>
        <w:t xml:space="preserve"> </w:t>
      </w:r>
      <w:r w:rsidRPr="007F32B4">
        <w:t>105, сл.), что дает возможность выстроить достаточно простую эволюционную цепочку: от «свободной орнаментики» в народной музыке и профессиональной традиции монодического периода к средневековому импровизированному дисканту, далее</w:t>
      </w:r>
      <w:r>
        <w:t xml:space="preserve"> </w:t>
      </w:r>
      <w:r w:rsidRPr="007F32B4">
        <w:t>— к ренессансной технике диминуций, из которой постепенно «выкристаллизовываются» типические обороты, обозначаемые особыми значками; сформированные в исполнительской практике украшения берут под свой контроль композиторы, и дальнейшая история орнаментики становится чередой конвенциональных уточнений, которым она «противится» по своей импровизационной природе (там же, стб.</w:t>
      </w:r>
      <w:r>
        <w:t xml:space="preserve"> </w:t>
      </w:r>
      <w:r w:rsidRPr="007F32B4">
        <w:t>107). Получается, что орнаментика есть survivor импровизации. Подобной «исторической» трактовке неявно предпосылаются постулаты единства и непрерывности традиции, линейного само-развития орнаментики, нарастания регламентации, сохранения пережитков. Однако, здесь возможны возражения.</w:t>
      </w:r>
    </w:p>
    <w:p w:rsidR="00702BC3" w:rsidRPr="007F32B4" w:rsidRDefault="00702BC3" w:rsidP="00702BC3">
      <w:pPr>
        <w:spacing w:before="120"/>
        <w:ind w:firstLine="567"/>
        <w:jc w:val="both"/>
      </w:pPr>
      <w:r w:rsidRPr="007F32B4">
        <w:t>Даже не развертывая подробную критику применяемых здесь концептов традиции и преемственности, можно обратить внимание на некоторые трудности. Так, например, сомнительным представляется выведение графических символов украшений из неясностей невменного письма. А.</w:t>
      </w:r>
      <w:r>
        <w:t xml:space="preserve"> </w:t>
      </w:r>
      <w:r w:rsidRPr="007F32B4">
        <w:t>Бейшлаг в своем исследовании, посвященном</w:t>
      </w:r>
      <w:r>
        <w:t xml:space="preserve"> </w:t>
      </w:r>
      <w:r w:rsidRPr="007F32B4">
        <w:t>орнаментике, по этому поводу замечает, что нет нужды вести истоки этой семиографии так далеко</w:t>
      </w:r>
      <w:r>
        <w:t xml:space="preserve"> </w:t>
      </w:r>
      <w:r w:rsidRPr="007F32B4">
        <w:t>— использовались символы, просто удобные для письма; так практически одновременно один и тот же значок вводят Шамбоньер и Лейбниц: первый для краткого написания группетто, второй, предпосылая оригинальное обоснование, для отношения подобия. «Уже одно то обстоятельство, что новая семиография была в состоянии при помощи нескольких черточек символизировать целые группы знаков, придавало ей особенную ценность именно в то время, когда музыкальные произведения распространялись в большей степени путем переписки, чем через печать» (А.</w:t>
      </w:r>
      <w:r>
        <w:t xml:space="preserve"> </w:t>
      </w:r>
      <w:r w:rsidRPr="007F32B4">
        <w:t>Бейшлаг. Орнаментика в музыке. М.,</w:t>
      </w:r>
      <w:r>
        <w:t xml:space="preserve"> </w:t>
      </w:r>
      <w:r w:rsidRPr="007F32B4">
        <w:t>1978, с.</w:t>
      </w:r>
      <w:r>
        <w:t xml:space="preserve"> </w:t>
      </w:r>
      <w:r w:rsidRPr="007F32B4">
        <w:t>67).</w:t>
      </w:r>
    </w:p>
    <w:p w:rsidR="00702BC3" w:rsidRPr="007F32B4" w:rsidRDefault="00702BC3" w:rsidP="00702BC3">
      <w:pPr>
        <w:spacing w:before="120"/>
        <w:ind w:firstLine="567"/>
        <w:jc w:val="both"/>
      </w:pPr>
      <w:r w:rsidRPr="007F32B4">
        <w:lastRenderedPageBreak/>
        <w:t>Далее, общеизвестно, что, кроме всего прочего, диминуционная техника является композиционно-фактурной основой свободных инструментальных жанров, таких как ричеркар, токката, прелюдия, фантазия. Одновременная «кристаллизация» отдельных блоков той же основы в качестве жестких формул украшений представляется с трудом.</w:t>
      </w:r>
    </w:p>
    <w:p w:rsidR="00702BC3" w:rsidRPr="007F32B4" w:rsidRDefault="00702BC3" w:rsidP="00702BC3">
      <w:pPr>
        <w:spacing w:before="120"/>
        <w:ind w:firstLine="567"/>
        <w:jc w:val="both"/>
      </w:pPr>
      <w:r w:rsidRPr="007F32B4">
        <w:t>Необходимо также добавить, что выстраивание линейного ряда происхождения орнаментики, чем далее, тем более регламентированной, а равно и предполагаемое таким образом «культивирование» последней, также вызывают сомнения. «Интерес к разукрашиванию» (А.</w:t>
      </w:r>
      <w:r>
        <w:t xml:space="preserve"> </w:t>
      </w:r>
      <w:r w:rsidRPr="007F32B4">
        <w:t>Бейшлаг, указ.</w:t>
      </w:r>
      <w:r>
        <w:t xml:space="preserve"> </w:t>
      </w:r>
      <w:r w:rsidRPr="007F32B4">
        <w:t>соч., с.</w:t>
      </w:r>
      <w:r>
        <w:t xml:space="preserve"> </w:t>
      </w:r>
      <w:r w:rsidRPr="007F32B4">
        <w:t>6) не является параметром нарастающим, т.е. в разное время украшениям придается различная значимость.</w:t>
      </w:r>
    </w:p>
    <w:p w:rsidR="00702BC3" w:rsidRPr="007F32B4" w:rsidRDefault="00702BC3" w:rsidP="00702BC3">
      <w:pPr>
        <w:spacing w:before="120"/>
        <w:ind w:firstLine="567"/>
        <w:jc w:val="both"/>
      </w:pPr>
      <w:r w:rsidRPr="007F32B4">
        <w:t>Наконец, вырисовывается основное</w:t>
      </w:r>
      <w:r>
        <w:t xml:space="preserve"> </w:t>
      </w:r>
      <w:r w:rsidRPr="007F32B4">
        <w:t>— смысловое</w:t>
      </w:r>
      <w:r>
        <w:t xml:space="preserve"> </w:t>
      </w:r>
      <w:r w:rsidRPr="007F32B4">
        <w:t>— противоречие украшения и импровизации как его истока. Сами слова выдают здесь разрыв. Так, если латинское improvisus, собственно значит «неожиданный, внезапный», и, вне зависимости от степени этой «ожиданности», обладает некоей прежде всего само-обосновываемостью, то украшение, напротив, как кажется, бытийно вторично, т.е. нуждается в том, что надлежит украсить, сделать краше. Можно попробовать прояснить это, воспользовавшись предложенным историческим эскизом.</w:t>
      </w:r>
    </w:p>
    <w:p w:rsidR="00702BC3" w:rsidRPr="007F32B4" w:rsidRDefault="00702BC3" w:rsidP="00702BC3">
      <w:pPr>
        <w:spacing w:before="120"/>
        <w:ind w:firstLine="567"/>
        <w:jc w:val="both"/>
      </w:pPr>
      <w:r w:rsidRPr="007F32B4">
        <w:t>Тезис об изначально импровизационной природе народной музыки и принципиальной невозможности строгой фиксации ее явлений, где каждое исполнение есть настолько же «вариация», насколько «оригинал», где мелодия живет в непрерывном изменении, по существу позволяет отнести элементы такой мобильности в рамках традиции к украшениям, т.е. к свободной орнаментике, хотя граница между собственно украшением и созданием здесь практически отсутствует.</w:t>
      </w:r>
    </w:p>
    <w:p w:rsidR="00702BC3" w:rsidRPr="007F32B4" w:rsidRDefault="00702BC3" w:rsidP="00702BC3">
      <w:pPr>
        <w:spacing w:before="120"/>
        <w:ind w:firstLine="567"/>
        <w:jc w:val="both"/>
      </w:pPr>
      <w:r w:rsidRPr="007F32B4">
        <w:t>Это соображение относится также и к многоголосию, где композитор и исполнитель совмещаются в одном лице.</w:t>
      </w:r>
    </w:p>
    <w:p w:rsidR="00702BC3" w:rsidRPr="007F32B4" w:rsidRDefault="00702BC3" w:rsidP="00702BC3">
      <w:pPr>
        <w:spacing w:before="120"/>
        <w:ind w:firstLine="567"/>
        <w:jc w:val="both"/>
      </w:pPr>
      <w:r w:rsidRPr="007F32B4">
        <w:t>Почва для «украшательства» в подлинном смысле, как кажется, создается лишь с попытками письменной фиксации мелоса. Однако, если вспомнить, что фиксирующая инициатива исходит от церкви, причем именно в силу желания ограничить мобильность песнопений, а также то, что церковь неоднократно предпринимает меры против любых изменений в каноне, можно видеть, что систематическое нарастание заинтересованности украшениями и их регламентацией в таких условиях маловероятно. С этих позиций возможно утверждать, что и изобретение дисканта также не дает ничего принципиально нового в отношении развития орнаментики: во-первых, мензуральную нотацию нельзя считать в достаточной мере приспособленной к фиксации украшений, а во-вторых, внутренняя вариационность, единство интонаций полифонического целого достигаются импровизирующим (но не орнаментирующим) коллективом (см. напр. М.</w:t>
      </w:r>
      <w:r>
        <w:t xml:space="preserve"> </w:t>
      </w:r>
      <w:r w:rsidRPr="007F32B4">
        <w:t>Сапонов. Искусство импровизации. М.,</w:t>
      </w:r>
      <w:r>
        <w:t xml:space="preserve"> </w:t>
      </w:r>
      <w:r w:rsidRPr="007F32B4">
        <w:t>1982).</w:t>
      </w:r>
    </w:p>
    <w:p w:rsidR="00702BC3" w:rsidRPr="007F32B4" w:rsidRDefault="00702BC3" w:rsidP="00702BC3">
      <w:pPr>
        <w:spacing w:before="120"/>
        <w:ind w:firstLine="567"/>
        <w:jc w:val="both"/>
      </w:pPr>
      <w:r w:rsidRPr="007F32B4">
        <w:t>В этом смысле диминуция представляет собой существенно новое явление. «Если дискант ставил своей целью разукрашивать голос, противопоставляемый cantus firmus’у, то диминуция относилась к самой теме и стремилась расцветить ее мелизматическим обыгрыванием» (А.</w:t>
      </w:r>
      <w:r>
        <w:t xml:space="preserve"> </w:t>
      </w:r>
      <w:r w:rsidRPr="007F32B4">
        <w:t>Бейшлаг, указ.</w:t>
      </w:r>
      <w:r>
        <w:t xml:space="preserve"> </w:t>
      </w:r>
      <w:r w:rsidRPr="007F32B4">
        <w:t>соч., с.</w:t>
      </w:r>
      <w:r>
        <w:t xml:space="preserve"> </w:t>
      </w:r>
      <w:r w:rsidRPr="007F32B4">
        <w:t>14). Подобное расцвечивание осуществлялось путем «расщепления» крупной длительности на ряд более мелких, в основном, надо полагать, в зависимости от контекста или в определенных оборотах. Сочинение, как утверждает А.</w:t>
      </w:r>
      <w:r>
        <w:t xml:space="preserve"> </w:t>
      </w:r>
      <w:r w:rsidRPr="007F32B4">
        <w:t>Бейшлаг, в это время рассматривалось как сырье, которое певец «возвышает» до исполнения своими украшениями (там же).</w:t>
      </w:r>
    </w:p>
    <w:p w:rsidR="00702BC3" w:rsidRPr="007F32B4" w:rsidRDefault="00702BC3" w:rsidP="00702BC3">
      <w:pPr>
        <w:spacing w:before="120"/>
        <w:ind w:firstLine="567"/>
        <w:jc w:val="both"/>
      </w:pPr>
      <w:r w:rsidRPr="007F32B4">
        <w:t>Принимая во внимание вышесказанное, можно видеть, что диминуирование для традиционной истории орнаментики является своего рода связующим звеном, с одной стороны, обеспечивающим непрерывность эволюции, соединяющей свободную орнаментику с фиксированной, с другой стороны, содержащим элементы как украшения, так и импровизации. Закрепление техники диминуирования в разного рода школах и пособиях, т.е. письменная фиксация определенных формул, из которых, в свою очередь, выделяются более мелкие украшения, есть, по видимому, заключительная фаза процесса, объединяющего plica ascendens невменного письма с форшлагом в нотографии</w:t>
      </w:r>
      <w:r>
        <w:t xml:space="preserve"> </w:t>
      </w:r>
      <w:r w:rsidRPr="007F32B4">
        <w:t>Нового времени (Музыкальная энциклопедия, т.</w:t>
      </w:r>
      <w:r>
        <w:t xml:space="preserve"> </w:t>
      </w:r>
      <w:r w:rsidRPr="007F32B4">
        <w:t>5, стб.</w:t>
      </w:r>
      <w:r>
        <w:t xml:space="preserve"> </w:t>
      </w:r>
      <w:r w:rsidRPr="007F32B4">
        <w:t>914).Общее увеличение строгости нотации оставляет тем больший простор для различных вариантов фиксации украшений. Однако, с этой точки зрения непонятно, почему украшение, исполняющее столь важную роль в качестве диминуции, уходит в маргиналии в качестве орнаментики.</w:t>
      </w:r>
    </w:p>
    <w:p w:rsidR="00702BC3" w:rsidRPr="007F32B4" w:rsidRDefault="00702BC3" w:rsidP="00702BC3">
      <w:pPr>
        <w:spacing w:before="120"/>
        <w:ind w:firstLine="567"/>
        <w:jc w:val="both"/>
      </w:pPr>
      <w:r w:rsidRPr="007F32B4">
        <w:t>Более того, с определенного времени (с нач. XVII</w:t>
      </w:r>
      <w:r>
        <w:t xml:space="preserve"> </w:t>
      </w:r>
      <w:r w:rsidRPr="007F32B4">
        <w:t>в.) отношение к диминуции резко меняется, причем, по-видимому, именно к фиксированной, а не к импровизированной диминуции. «С пуританской суровостью звучит обращение к певцам графа Барди, интеллектуального вождя реформаторской партии: “Не уродуйте мадригал своими неуклюжими пассажами до такой степени, что сам композитор не в состоянии узнать свое творение”» (А.</w:t>
      </w:r>
      <w:r>
        <w:t xml:space="preserve"> </w:t>
      </w:r>
      <w:r w:rsidRPr="007F32B4">
        <w:t>Бейшлаг, указ. соч., с.</w:t>
      </w:r>
      <w:r>
        <w:t xml:space="preserve"> </w:t>
      </w:r>
      <w:r w:rsidRPr="007F32B4">
        <w:t>55). Столетие спустя Марчелло уже откровенно высмеивает подобную практику: «Получив роль, … артистка … посылает все арии своему учителю, не указав в них из-за спешки баса, а учитель, который должен снабдить все эти арии пассажами и украшениями, возьмется за дело, не имея ни малейшего представления о намерениях композитора в отношении темпов и аккомпанемента, на пустых строках напишет все, что ему придет в голову» (Б.</w:t>
      </w:r>
      <w:r>
        <w:t xml:space="preserve"> </w:t>
      </w:r>
      <w:r w:rsidRPr="007F32B4">
        <w:t>Марчелло. Модный театр</w:t>
      </w:r>
      <w:r>
        <w:t xml:space="preserve"> </w:t>
      </w:r>
      <w:r w:rsidRPr="007F32B4">
        <w:t>// Музыкальная эстетика Западной Европы XVII–XVIII</w:t>
      </w:r>
      <w:r>
        <w:t xml:space="preserve"> </w:t>
      </w:r>
      <w:r w:rsidRPr="007F32B4">
        <w:t>веков. М,</w:t>
      </w:r>
      <w:r>
        <w:t xml:space="preserve"> </w:t>
      </w:r>
      <w:r w:rsidRPr="007F32B4">
        <w:t>1971, с.</w:t>
      </w:r>
      <w:r>
        <w:t xml:space="preserve"> </w:t>
      </w:r>
      <w:r w:rsidRPr="007F32B4">
        <w:t>114). В то же время, если диминуционная техника подвергается интенсивной критике, то более «мелкая» орнаментика переживает расцвет. Это несоответствие делает «связующее звено» эволюционной цепи несколько более «слабым», чем оно кажется на первый взгляд, и заставляет предположить некоторый прежде всего концептуальный сдвиг.</w:t>
      </w:r>
    </w:p>
    <w:p w:rsidR="00702BC3" w:rsidRPr="007F32B4" w:rsidRDefault="00702BC3" w:rsidP="00702BC3">
      <w:pPr>
        <w:spacing w:before="120"/>
        <w:ind w:firstLine="567"/>
        <w:jc w:val="both"/>
      </w:pPr>
      <w:r w:rsidRPr="007F32B4">
        <w:t>Таковой происходит в ситуации «рождения темы», органически вписанной в общекультурный процесс Нового времени. Возникновение (концентрация) тематической парадигмы в музыке сопровождается существенно иной конфигурацией множества параметров.</w:t>
      </w:r>
    </w:p>
    <w:p w:rsidR="00702BC3" w:rsidRPr="007F32B4" w:rsidRDefault="00702BC3" w:rsidP="00702BC3">
      <w:pPr>
        <w:spacing w:before="120"/>
        <w:ind w:firstLine="567"/>
        <w:jc w:val="both"/>
      </w:pPr>
      <w:r w:rsidRPr="007F32B4">
        <w:t>Музыка начала «тематической эпохи» чем далее, тем более жестко фиксирована, причем в нескольких направлениях. Во-первых, реальный звуковой континуум становится пространством, размеченным равномерной темперацией в виде безликой хроматической шкалы, где ни одна из двенадцати нот не наделяется больше метафизической значимостью; их равенство «удваивается» октавной гомологией,</w:t>
      </w:r>
      <w:r>
        <w:t xml:space="preserve"> </w:t>
      </w:r>
      <w:r w:rsidRPr="007F32B4">
        <w:t>в пределах которой возможна транспозиция без ущерба для мелодической осмысленности. «Двойник» этого звукового пространства</w:t>
      </w:r>
      <w:r>
        <w:t xml:space="preserve"> </w:t>
      </w:r>
      <w:r w:rsidRPr="007F32B4">
        <w:t>— нотная фиксация, благодаря которой отношения звуков строятся высотно; здесь огромную роль играет предикат наглядности, отнесенность которого к, казалось бы, неподвластному взгляду звуку становится для европейского музыкального мышления все более естественной. Третье направление действия фиксирующей тенденции</w:t>
      </w:r>
      <w:r>
        <w:t xml:space="preserve"> </w:t>
      </w:r>
      <w:r w:rsidRPr="007F32B4">
        <w:t>— время, запечатленное здесь в виде квази-временной структуры произведения, которая построена как каузальная последовательность дискретных элементов; с другой стороны, вертикальная расчлененность партитуры тактовой чертой и новая, не зависящая от слова, метрика вводят музыкальное время в пространство нотации, тем самым репрезентируя темпоральность как протяженность и закрепляя в конкретности словесных обозначений.</w:t>
      </w:r>
    </w:p>
    <w:p w:rsidR="00702BC3" w:rsidRPr="007F32B4" w:rsidRDefault="00702BC3" w:rsidP="00702BC3">
      <w:pPr>
        <w:spacing w:before="120"/>
        <w:ind w:firstLine="567"/>
        <w:jc w:val="both"/>
      </w:pPr>
      <w:r w:rsidRPr="007F32B4">
        <w:t>Гомофонно-гармонический склад произведения, в размеченном, единообразном пространстве, подчиненный новой ладовой упорядоченности, превращается в соотношение мелодии и системы аккордов; не без влияния партитурной «наглядности» и генерал-басовой собранности это соотношение делается подобным живописной модели «фигура-фон».</w:t>
      </w:r>
    </w:p>
    <w:p w:rsidR="00702BC3" w:rsidRPr="007F32B4" w:rsidRDefault="00702BC3" w:rsidP="00702BC3">
      <w:pPr>
        <w:spacing w:before="120"/>
        <w:ind w:firstLine="567"/>
        <w:jc w:val="both"/>
      </w:pPr>
      <w:r w:rsidRPr="007F32B4">
        <w:t>Далее, формальная текстуальная регуляция мелоса, как бы навязываемая ему извне, сменяется дискурсивной, которая, отпуская мелос на волю собственной логики, изнутри, на глубинном уровне навязывает ему свою упорядоченность в качестве смысла.</w:t>
      </w:r>
    </w:p>
    <w:p w:rsidR="00702BC3" w:rsidRPr="007F32B4" w:rsidRDefault="00702BC3" w:rsidP="00702BC3">
      <w:pPr>
        <w:spacing w:before="120"/>
        <w:ind w:firstLine="567"/>
        <w:jc w:val="both"/>
      </w:pPr>
      <w:r w:rsidRPr="007F32B4">
        <w:t>Значимый и сам по себе, опыт пред-положения основания в виде заимствованного cantus firmus делается «заметным», более того, выступает на первый план в качестве сперва «главной из фраз», затем темы, появление которой формирует как само произведение, так и восприятие этого произведения слушателями. Будучи абсолютным основанием как пред-положением, выступая как единственно субъективное (тематическое) начало в унифицированном музыкальном пространстве, тема концентрируется и отделяется в своей индивидуальности от прочих элементов, вместе с тем подчиняя их своему закону и пред-ставляя, таким образом, рациональную модель произведения, строящуюся как универсальная связность. Можно заметить, что это преобразование «принадлежит» не музыке, т. к. именно оно и делает возможным существование музыки «самой по себе», и в то же время</w:t>
      </w:r>
      <w:r>
        <w:t xml:space="preserve"> </w:t>
      </w:r>
      <w:r w:rsidRPr="007F32B4">
        <w:t xml:space="preserve"> «доступной», «понятной», «близкой» и проч. Концентрация тематизма, если попытаться продолжить ряд определений,</w:t>
      </w:r>
      <w:r>
        <w:t xml:space="preserve"> </w:t>
      </w:r>
      <w:r w:rsidRPr="007F32B4">
        <w:t>— есть такое соотношение, когда мелос, глубинная логика построения музыкальной структуры, подвластен дискурсу, определяется им, и выстраивается как модель дискурсивной связности.</w:t>
      </w:r>
    </w:p>
    <w:p w:rsidR="00702BC3" w:rsidRPr="007F32B4" w:rsidRDefault="00702BC3" w:rsidP="00702BC3">
      <w:pPr>
        <w:spacing w:before="120"/>
        <w:ind w:firstLine="567"/>
        <w:jc w:val="both"/>
      </w:pPr>
      <w:r w:rsidRPr="007F32B4">
        <w:t>В связи с происходящими изменениями, трансформируется и концепт импровизации. Будучи одной из важнейших категорий «дотематической» музыки, импровизационность вбирала в себя значения коллективности, размеренности, непрерывности, вариативности как метода развития, т. е. становилась основой и одновременно modus vivendi музыкального произведения; в эпоху Возрождения импровизация, с одной стороны, дополняла нотированную музыку, с другой стороны, являлась вполне конкурентноспособной альтернативой. Тематическая конфигурация меняет это соотношение, оттесняя импровизацию в маргиналии: ее уделом становятся passaggio и диминуции, да и то ненадолго. На неуместность и курьезность украшения произведений «пассажами», имеющими импровизационное происхождение, но в результате действия фиксирующих тенденций становящихся, в некотором смысле априорными (т. е. не имеющими отношения к замыслу композитора, не соответствующими смыслу произведения, нарушающими его связность), и обращает внимание приведенная критика. В качестве метода развития импровизацию сменяют тематическая разработка и вариация на тему, которые всегда «предвиденны», задуманы заранее; место импровизации занимает не менее продуманная, вводимая самим композитором, орнаментика, которая только сейчас приобретает соответствующий смысл</w:t>
      </w:r>
      <w:r>
        <w:t xml:space="preserve"> </w:t>
      </w:r>
      <w:r w:rsidRPr="007F32B4">
        <w:t>— и объект у-крашения в виде темы.</w:t>
      </w:r>
    </w:p>
    <w:p w:rsidR="00702BC3" w:rsidRPr="007F32B4" w:rsidRDefault="00702BC3" w:rsidP="00702BC3">
      <w:pPr>
        <w:spacing w:before="120"/>
        <w:ind w:firstLine="567"/>
        <w:jc w:val="both"/>
      </w:pPr>
      <w:r w:rsidRPr="007F32B4">
        <w:t>Степень свободы такой орнаментики находится в том же вариативном диапазоне, который создает по отношению к «идеальной предметности» текста любое исполнение; контекстуальность украшения покоится уже не в наборе «модусов» импровизации, но в области гармонии, отсылая к «правильному» разрешению диссонанса; причем автор старается всячески ограничить даже эти незначительные колебания, специально выписывая украшения в тексте или в предпосланной ему таблице. Индивидуально-композиторская трактовка украшений со временем нивелируется до конвенциональной, целиком отдавая</w:t>
      </w:r>
      <w:r>
        <w:t xml:space="preserve"> </w:t>
      </w:r>
      <w:r w:rsidRPr="007F32B4">
        <w:t>орнаментику на откуп той безличной субъективности, которую можно было бы назвать трансцендентально-мелодической.</w:t>
      </w:r>
    </w:p>
    <w:p w:rsidR="00702BC3" w:rsidRPr="007F32B4" w:rsidRDefault="00702BC3" w:rsidP="00702BC3">
      <w:pPr>
        <w:spacing w:before="120"/>
        <w:ind w:firstLine="567"/>
        <w:jc w:val="both"/>
      </w:pPr>
      <w:r w:rsidRPr="007F32B4">
        <w:t>Обозначенный таким образом набросок генеалогии орнаментики может, как кажется, послужить началом для более обширной работы, как музыковедческого, так и культурологического уровня.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2BC3"/>
    <w:rsid w:val="00095BA6"/>
    <w:rsid w:val="0031418A"/>
    <w:rsid w:val="005A2562"/>
    <w:rsid w:val="00702BC3"/>
    <w:rsid w:val="007F32B4"/>
    <w:rsid w:val="00A44D32"/>
    <w:rsid w:val="00C36E7E"/>
    <w:rsid w:val="00CB3D62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EB52A19-E672-47CD-93BE-1B4EF816B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BC3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02B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2153</Words>
  <Characters>12278</Characters>
  <Application>Microsoft Office Word</Application>
  <DocSecurity>0</DocSecurity>
  <Lines>102</Lines>
  <Paragraphs>28</Paragraphs>
  <ScaleCrop>false</ScaleCrop>
  <Company>Home</Company>
  <LinksUpToDate>false</LinksUpToDate>
  <CharactersWithSpaces>14403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генеалогии музыкальной орнаментики</dc:title>
  <dc:subject/>
  <dc:creator>Alena</dc:creator>
  <cp:keywords/>
  <dc:description/>
  <cp:lastModifiedBy>Irina</cp:lastModifiedBy>
  <cp:revision>2</cp:revision>
  <dcterms:created xsi:type="dcterms:W3CDTF">2014-10-30T16:47:00Z</dcterms:created>
  <dcterms:modified xsi:type="dcterms:W3CDTF">2014-10-30T16:47:00Z</dcterms:modified>
</cp:coreProperties>
</file>