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261" w:rsidRDefault="00971261">
      <w:pPr>
        <w:ind w:right="91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ДГУ</w:t>
      </w:r>
    </w:p>
    <w:p w:rsidR="00971261" w:rsidRDefault="00971261">
      <w:pPr>
        <w:ind w:right="91"/>
        <w:jc w:val="center"/>
        <w:rPr>
          <w:b/>
          <w:i/>
          <w:sz w:val="28"/>
          <w:lang w:val="ru-RU"/>
        </w:rPr>
      </w:pPr>
    </w:p>
    <w:p w:rsidR="00971261" w:rsidRDefault="00971261">
      <w:pPr>
        <w:ind w:right="91"/>
        <w:jc w:val="center"/>
        <w:rPr>
          <w:b/>
          <w:i/>
          <w:sz w:val="40"/>
          <w:lang w:val="ru-RU"/>
        </w:rPr>
      </w:pPr>
    </w:p>
    <w:p w:rsidR="00971261" w:rsidRDefault="00971261">
      <w:pPr>
        <w:pStyle w:val="1"/>
      </w:pPr>
    </w:p>
    <w:p w:rsidR="00971261" w:rsidRDefault="00971261">
      <w:pPr>
        <w:pStyle w:val="1"/>
      </w:pPr>
    </w:p>
    <w:p w:rsidR="00971261" w:rsidRDefault="00971261">
      <w:pPr>
        <w:pStyle w:val="1"/>
      </w:pPr>
    </w:p>
    <w:p w:rsidR="00971261" w:rsidRDefault="00971261">
      <w:pPr>
        <w:pStyle w:val="1"/>
        <w:rPr>
          <w:sz w:val="52"/>
        </w:rPr>
      </w:pPr>
      <w:r>
        <w:rPr>
          <w:sz w:val="52"/>
        </w:rPr>
        <w:t>РЕФЕРАТ</w:t>
      </w:r>
    </w:p>
    <w:p w:rsidR="00971261" w:rsidRDefault="00971261">
      <w:pPr>
        <w:ind w:right="91"/>
        <w:jc w:val="center"/>
        <w:rPr>
          <w:b/>
          <w:i/>
          <w:sz w:val="40"/>
          <w:u w:val="single"/>
          <w:lang w:val="ru-RU"/>
        </w:rPr>
      </w:pPr>
    </w:p>
    <w:p w:rsidR="00971261" w:rsidRDefault="00971261">
      <w:pPr>
        <w:ind w:right="91"/>
        <w:jc w:val="center"/>
        <w:rPr>
          <w:b/>
          <w:i/>
          <w:sz w:val="40"/>
          <w:u w:val="single"/>
          <w:lang w:val="ru-RU"/>
        </w:rPr>
      </w:pPr>
      <w:r>
        <w:rPr>
          <w:b/>
          <w:i/>
          <w:sz w:val="40"/>
          <w:u w:val="single"/>
          <w:lang w:val="ru-RU"/>
        </w:rPr>
        <w:t>Тема:</w:t>
      </w:r>
    </w:p>
    <w:p w:rsidR="00971261" w:rsidRDefault="00971261">
      <w:pPr>
        <w:ind w:right="91"/>
        <w:jc w:val="center"/>
        <w:rPr>
          <w:sz w:val="40"/>
          <w:lang w:val="ru-RU"/>
        </w:rPr>
      </w:pPr>
      <w:r>
        <w:rPr>
          <w:b/>
          <w:i/>
          <w:sz w:val="40"/>
          <w:lang w:val="ru-RU"/>
        </w:rPr>
        <w:t>Виды внешнеторговых контрактов. Структура и содержание типового внешнеторгового контракта. Валютно-финансовые условия внешнеторговых контрактов</w:t>
      </w:r>
      <w:r>
        <w:rPr>
          <w:sz w:val="40"/>
          <w:lang w:val="ru-RU"/>
        </w:rPr>
        <w:t>.</w:t>
      </w:r>
    </w:p>
    <w:p w:rsidR="00971261" w:rsidRDefault="00971261">
      <w:pPr>
        <w:ind w:right="91"/>
        <w:jc w:val="center"/>
        <w:rPr>
          <w:sz w:val="40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</w:p>
    <w:p w:rsidR="00971261" w:rsidRDefault="00971261">
      <w:pPr>
        <w:ind w:right="91"/>
        <w:jc w:val="right"/>
        <w:rPr>
          <w:sz w:val="32"/>
          <w:lang w:val="ru-RU"/>
        </w:rPr>
      </w:pPr>
      <w:r>
        <w:rPr>
          <w:sz w:val="32"/>
          <w:lang w:val="ru-RU"/>
        </w:rPr>
        <w:t>Студентки гр. ТВ-94-2</w:t>
      </w:r>
    </w:p>
    <w:p w:rsidR="00971261" w:rsidRDefault="00971261">
      <w:pPr>
        <w:ind w:right="91"/>
        <w:jc w:val="right"/>
        <w:rPr>
          <w:sz w:val="32"/>
          <w:lang w:val="ru-RU"/>
        </w:rPr>
      </w:pPr>
      <w:r>
        <w:rPr>
          <w:sz w:val="32"/>
          <w:lang w:val="ru-RU"/>
        </w:rPr>
        <w:t>Ольховик О.М.</w:t>
      </w:r>
    </w:p>
    <w:p w:rsidR="00971261" w:rsidRDefault="00971261">
      <w:pPr>
        <w:ind w:right="91"/>
        <w:jc w:val="center"/>
        <w:rPr>
          <w:sz w:val="32"/>
          <w:lang w:val="ru-RU"/>
        </w:rPr>
      </w:pPr>
    </w:p>
    <w:p w:rsidR="00971261" w:rsidRDefault="00971261">
      <w:pPr>
        <w:ind w:right="91"/>
        <w:jc w:val="center"/>
        <w:rPr>
          <w:sz w:val="32"/>
          <w:lang w:val="ru-RU"/>
        </w:rPr>
      </w:pPr>
    </w:p>
    <w:p w:rsidR="00971261" w:rsidRDefault="00971261">
      <w:pPr>
        <w:ind w:right="91"/>
        <w:jc w:val="center"/>
        <w:rPr>
          <w:sz w:val="32"/>
          <w:lang w:val="ru-RU"/>
        </w:rPr>
      </w:pPr>
    </w:p>
    <w:p w:rsidR="00971261" w:rsidRDefault="00971261">
      <w:pPr>
        <w:ind w:right="91"/>
        <w:jc w:val="center"/>
        <w:rPr>
          <w:sz w:val="32"/>
          <w:lang w:val="ru-RU"/>
        </w:rPr>
      </w:pPr>
    </w:p>
    <w:p w:rsidR="00971261" w:rsidRDefault="00971261">
      <w:pPr>
        <w:ind w:right="91"/>
        <w:jc w:val="center"/>
        <w:rPr>
          <w:sz w:val="32"/>
          <w:lang w:val="ru-RU"/>
        </w:rPr>
      </w:pPr>
      <w:r>
        <w:rPr>
          <w:sz w:val="32"/>
          <w:lang w:val="ru-RU"/>
        </w:rPr>
        <w:t>1998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Договор купли-продажи товаров в материально-вещественной форме в международной коммерческой практике называется контрактом.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Контракт купли-продажи представляет собой  коммерческий документ, оформляющий внешнеторговую сделку, в котором содержится письменная договоренность сторон о поставке товара: обязательство продавца передать определенное имущество в собственность покупателя и обязательство покупателя принять это имущество и уплатить за него определенную денежную сумму, или обязательства сторон выполнить условия товарообменной сделки. 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Регулирование заключения договора купли-продажи и те права и обязанности продавца и покупателя, которые возникают из такого договора, унифицировано в Конвенции  ООН о договорах международной купли-продажи товаров.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Применяемые во внешней торговле контракты содержат различные условия, характеризующие товар, служащий предметом купли-продажи, определяющие коммерческие особенности сделки, права и обязанности сторон, взаимные обязательства сторон по операциям, обеспечивающим исполнение контракта. Все условия контракта можно классифицировать следующим образом: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2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с точки зрения их обязательности для продавца и покупателя;</w:t>
      </w:r>
    </w:p>
    <w:p w:rsidR="00971261" w:rsidRDefault="00971261">
      <w:pPr>
        <w:numPr>
          <w:ilvl w:val="0"/>
          <w:numId w:val="2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с точки зрения их универсальности.</w:t>
      </w:r>
    </w:p>
    <w:p w:rsidR="00971261" w:rsidRDefault="00971261">
      <w:pPr>
        <w:ind w:left="720" w:right="91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 точки зрения обязательности  условия контракта делятся на обязательные и дополнительные.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К </w:t>
      </w:r>
      <w:r>
        <w:rPr>
          <w:b/>
          <w:sz w:val="24"/>
          <w:u w:val="single"/>
          <w:lang w:val="ru-RU"/>
        </w:rPr>
        <w:t xml:space="preserve">обязательным </w:t>
      </w:r>
      <w:r>
        <w:rPr>
          <w:sz w:val="24"/>
          <w:lang w:val="ru-RU"/>
        </w:rPr>
        <w:t>условиям относятся: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наименования сторон - участников сделки;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предмет контракта;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качество и количество;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базисные условия поставки; цена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условия платежа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санкции и рекламации (штрафы, претензии);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юридические адреса и подписи сторон.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Дополнительные</w:t>
      </w:r>
      <w:r>
        <w:rPr>
          <w:sz w:val="24"/>
          <w:u w:val="single"/>
          <w:lang w:val="ru-RU"/>
        </w:rPr>
        <w:t xml:space="preserve"> </w:t>
      </w:r>
      <w:r>
        <w:rPr>
          <w:sz w:val="24"/>
          <w:lang w:val="ru-RU"/>
        </w:rPr>
        <w:t>условия: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сдача-приемка товара;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страховка;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отгрузочные документы;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гарантии;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упаковка и маркировка;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форс-мажорные обстоятельства;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арбитраж;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прочие условия.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Обязательными эти условия (“</w:t>
      </w:r>
      <w:r>
        <w:rPr>
          <w:sz w:val="24"/>
          <w:lang w:val="en-US"/>
        </w:rPr>
        <w:t>conditions</w:t>
      </w:r>
      <w:r>
        <w:rPr>
          <w:sz w:val="24"/>
          <w:lang w:val="ru-RU"/>
        </w:rPr>
        <w:t>”)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называются так потому, что, если одна из сторон не выполняет эти условия, то другая сторона вправе расторгнуть контракт и требовать возмещения убытков.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>С точки зрения универсальности условия контракта делятся на индивидуальные и универсальные.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ab/>
        <w:t xml:space="preserve">К </w:t>
      </w:r>
      <w:r>
        <w:rPr>
          <w:b/>
          <w:sz w:val="24"/>
          <w:u w:val="single"/>
          <w:lang w:val="ru-RU"/>
        </w:rPr>
        <w:t>индивидуальным</w:t>
      </w:r>
      <w:r>
        <w:rPr>
          <w:b/>
          <w:sz w:val="24"/>
          <w:lang w:val="ru-RU"/>
        </w:rPr>
        <w:t>,</w:t>
      </w:r>
      <w:r>
        <w:rPr>
          <w:sz w:val="24"/>
          <w:lang w:val="ru-RU"/>
        </w:rPr>
        <w:t xml:space="preserve"> то есть тем, которые присущи только одному конкретному контракту, относятся: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наименование сторон в преамбуле;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предмет контракта;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качество товара;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количество товара;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цена;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сроки поставки;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юридические адреса и подписи сторон.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К</w:t>
      </w:r>
      <w:r>
        <w:rPr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ru-RU"/>
        </w:rPr>
        <w:t>универсальным</w:t>
      </w:r>
      <w:r>
        <w:rPr>
          <w:sz w:val="24"/>
          <w:lang w:val="ru-RU"/>
        </w:rPr>
        <w:t xml:space="preserve"> условиям относятся: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сдача-приемка товара;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базисные условия поставки;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условия платежа;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упаковка и маркировка;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гарантии;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санкции и рекламации;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форс-мажорные обстоятельства;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арбитраж.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b/>
          <w:i/>
          <w:sz w:val="24"/>
          <w:lang w:val="ru-RU"/>
        </w:rPr>
      </w:pPr>
    </w:p>
    <w:p w:rsidR="00971261" w:rsidRDefault="00971261">
      <w:pPr>
        <w:ind w:right="91"/>
        <w:jc w:val="both"/>
        <w:rPr>
          <w:b/>
          <w:i/>
          <w:sz w:val="28"/>
          <w:lang w:val="ru-RU"/>
        </w:rPr>
      </w:pPr>
      <w:r>
        <w:rPr>
          <w:b/>
          <w:i/>
          <w:sz w:val="24"/>
          <w:lang w:val="ru-RU"/>
        </w:rPr>
        <w:tab/>
      </w:r>
      <w:r>
        <w:rPr>
          <w:b/>
          <w:i/>
          <w:sz w:val="28"/>
          <w:lang w:val="ru-RU"/>
        </w:rPr>
        <w:t>Основные пункты внешнеторгового контракта:</w:t>
      </w:r>
    </w:p>
    <w:p w:rsidR="00971261" w:rsidRDefault="00971261">
      <w:pPr>
        <w:ind w:right="91"/>
        <w:jc w:val="both"/>
        <w:rPr>
          <w:sz w:val="28"/>
          <w:lang w:val="ru-RU"/>
        </w:rPr>
      </w:pPr>
    </w:p>
    <w:p w:rsidR="00971261" w:rsidRDefault="00971261">
      <w:pPr>
        <w:numPr>
          <w:ilvl w:val="0"/>
          <w:numId w:val="3"/>
        </w:numPr>
        <w:ind w:right="91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Преамбула</w:t>
      </w:r>
      <w:r>
        <w:rPr>
          <w:b/>
          <w:sz w:val="28"/>
          <w:u w:val="single"/>
          <w:lang w:val="ru-RU"/>
        </w:rPr>
        <w:t>.</w:t>
      </w:r>
      <w:r>
        <w:rPr>
          <w:sz w:val="28"/>
          <w:u w:val="single"/>
          <w:lang w:val="ru-RU"/>
        </w:rPr>
        <w:t xml:space="preserve"> </w:t>
      </w:r>
      <w:r>
        <w:rPr>
          <w:sz w:val="24"/>
          <w:lang w:val="ru-RU"/>
        </w:rPr>
        <w:t>Преамбула предшествует тексту контракта и начинается со слова контракт в середине страницы, после которого следует номер контракта. Ниже, справа, пишется дата, а слева указывается место заключения контракта. Далее в преамбуле четко указывается фирменные наименования сторон. В преамбуле также дается определение сторон как контрагентов. Наглядным примером может служить преамбула контракта приведенного в приложении 12.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4"/>
        </w:numPr>
        <w:ind w:right="91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Предмет контракта</w:t>
      </w:r>
      <w:r>
        <w:rPr>
          <w:sz w:val="24"/>
          <w:lang w:val="ru-RU"/>
        </w:rPr>
        <w:t>.  После преамбулы следует описание предмета контракта и устанавливается его точное наименование, характеристика, модель, сорт и т.д. Если товар требует более подробной характеристики или ассортимент товара широк по наименованиям и количеству, то все это указывается в приложении к договору (спецификации), которое является неотъемлемой частью контракта, о чем делается соответствующая оговорка в тексте контракта.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5"/>
        </w:numPr>
        <w:ind w:right="91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Количество</w:t>
      </w:r>
      <w:r>
        <w:rPr>
          <w:sz w:val="24"/>
          <w:u w:val="single"/>
          <w:lang w:val="ru-RU"/>
        </w:rPr>
        <w:t>.</w:t>
      </w:r>
      <w:r>
        <w:rPr>
          <w:sz w:val="24"/>
          <w:lang w:val="ru-RU"/>
        </w:rPr>
        <w:t xml:space="preserve">  В контракте устанавливается единица измерения количества, система мер и весов.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6"/>
        </w:numPr>
        <w:ind w:right="91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Качество товара</w:t>
      </w:r>
      <w:r>
        <w:rPr>
          <w:sz w:val="24"/>
          <w:lang w:val="ru-RU"/>
        </w:rPr>
        <w:t xml:space="preserve">.  Определить качество товара в контракте купли-продажи - значит установить качественную характеристику товара, т.е. совокупность свойств, определяющих пригодность товара для использования его по назначению в соответствии с потребностями покупателя. Выбор способа определения качества зависит от характера товара, от практики, сложившейся в международной торговле данным товаром, и других условий. 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12"/>
          <w:numId w:val="0"/>
        </w:numPr>
        <w:ind w:right="91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Способы определения качества: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стандарту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техническим условиям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спецификации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образцу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описанию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предварительному осмотру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содержанию отдельных веществ в товаре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выходу готового продукта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 натурному весу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способ “тель-кель”.                                                                               </w:t>
      </w:r>
    </w:p>
    <w:p w:rsidR="00971261" w:rsidRDefault="00971261">
      <w:pPr>
        <w:numPr>
          <w:ilvl w:val="12"/>
          <w:numId w:val="0"/>
        </w:numPr>
        <w:ind w:left="720" w:right="91"/>
        <w:jc w:val="both"/>
        <w:rPr>
          <w:sz w:val="24"/>
          <w:lang w:val="ru-RU"/>
        </w:rPr>
      </w:pPr>
    </w:p>
    <w:p w:rsidR="00971261" w:rsidRDefault="00971261">
      <w:pPr>
        <w:numPr>
          <w:ilvl w:val="12"/>
          <w:numId w:val="0"/>
        </w:numPr>
        <w:ind w:left="720" w:right="91"/>
        <w:jc w:val="both"/>
        <w:rPr>
          <w:sz w:val="24"/>
          <w:lang w:val="ru-RU"/>
        </w:rPr>
      </w:pPr>
      <w:r>
        <w:rPr>
          <w:sz w:val="24"/>
          <w:lang w:val="ru-RU"/>
        </w:rPr>
        <w:t>Если в контракте не указан способ определения качества,  обычно считается, что качество определяемого товара должно соответствовать среднему качеству, являющемуся в стране продавца или в стране происхождения товара обычным для данного вида товара.</w:t>
      </w:r>
    </w:p>
    <w:p w:rsidR="00971261" w:rsidRDefault="00971261">
      <w:pPr>
        <w:numPr>
          <w:ilvl w:val="12"/>
          <w:numId w:val="0"/>
        </w:numPr>
        <w:ind w:left="720"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7"/>
        </w:numPr>
        <w:ind w:right="91"/>
        <w:jc w:val="both"/>
        <w:rPr>
          <w:sz w:val="24"/>
          <w:lang w:val="ru-RU"/>
        </w:rPr>
      </w:pPr>
      <w:r>
        <w:rPr>
          <w:b/>
          <w:sz w:val="24"/>
          <w:u w:val="single"/>
          <w:lang w:val="ru-RU"/>
        </w:rPr>
        <w:t>Транспортные условия контракта</w:t>
      </w:r>
      <w:r>
        <w:rPr>
          <w:b/>
          <w:sz w:val="24"/>
          <w:lang w:val="ru-RU"/>
        </w:rPr>
        <w:t>.</w:t>
      </w:r>
      <w:r>
        <w:rPr>
          <w:sz w:val="24"/>
          <w:lang w:val="ru-RU"/>
        </w:rPr>
        <w:t xml:space="preserve">  Транспорт является основным связующим звеном между продавцом и покупателем; конечной целью транспортировки  является своевременное прибытие груза в конечный пункт назначения в хорошем состоянии. При рассмотрении вопросов транспортировки грузов для участников внешнеторговой сделки необходимо установить следующее:</w:t>
      </w:r>
    </w:p>
    <w:p w:rsidR="00971261" w:rsidRDefault="00971261">
      <w:pPr>
        <w:numPr>
          <w:ilvl w:val="12"/>
          <w:numId w:val="0"/>
        </w:numPr>
        <w:ind w:right="91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каковы базисные условия поставки товара,  как в соответствии с ними распределяются обязанности продавца и покупателя по обеспечению доставки товара;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как осуществляется обратная связь между продавцом и покупателем при доставке товара (извещения);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каким видом транспорта будет доставляться товар, какие документы сопровождают  договор перевозки.</w:t>
      </w:r>
    </w:p>
    <w:p w:rsidR="00971261" w:rsidRDefault="00971261">
      <w:pPr>
        <w:ind w:right="91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b/>
          <w:i/>
          <w:sz w:val="24"/>
          <w:lang w:val="ru-RU"/>
        </w:rPr>
        <w:t>Базисными условиями</w:t>
      </w:r>
      <w:r>
        <w:rPr>
          <w:i/>
          <w:sz w:val="24"/>
          <w:lang w:val="ru-RU"/>
        </w:rPr>
        <w:t xml:space="preserve">  </w:t>
      </w:r>
      <w:r>
        <w:rPr>
          <w:sz w:val="24"/>
          <w:lang w:val="ru-RU"/>
        </w:rPr>
        <w:t>во внешнеторговом контракте купли-продажи называют специальные условия, которые определяют обязанности продавца и покупателя по доставке товара и устанавливают момент  выполнения продавцом своих обязанностей по поставке товара и перехода риска случайной гибели или повреждения товара с продавца на покупателя, а также могущих возникнуть в связи с этим расходов. Применение базисных условий упрощает составление и   согласование контрактов, помогает контрагентам найти способы разделения ответственности и разрешения возникающих разногласий. Международная торговая палата разработала и выпустила сборники толкований базисных условий, так называемые “</w:t>
      </w:r>
      <w:r>
        <w:rPr>
          <w:sz w:val="24"/>
          <w:lang w:val="en-US"/>
        </w:rPr>
        <w:t>International Commercial Terms”</w:t>
      </w:r>
      <w:r>
        <w:rPr>
          <w:sz w:val="24"/>
          <w:lang w:val="ru-RU"/>
        </w:rPr>
        <w:t>.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Из всех базисных условий наибольшее распространение получили условия </w:t>
      </w:r>
      <w:r>
        <w:rPr>
          <w:sz w:val="24"/>
          <w:lang w:val="en-US"/>
        </w:rPr>
        <w:t>FOB</w:t>
      </w:r>
      <w:r>
        <w:rPr>
          <w:sz w:val="24"/>
          <w:lang w:val="ru-RU"/>
        </w:rPr>
        <w:t xml:space="preserve"> и </w:t>
      </w:r>
      <w:r>
        <w:rPr>
          <w:sz w:val="24"/>
          <w:lang w:val="en-US"/>
        </w:rPr>
        <w:t>CIF</w:t>
      </w:r>
      <w:r>
        <w:rPr>
          <w:sz w:val="24"/>
          <w:lang w:val="ru-RU"/>
        </w:rPr>
        <w:t xml:space="preserve">, и в практике международной торговли “цена  </w:t>
      </w:r>
      <w:r>
        <w:rPr>
          <w:sz w:val="24"/>
          <w:lang w:val="en-US"/>
        </w:rPr>
        <w:t>FOB</w:t>
      </w:r>
      <w:r>
        <w:rPr>
          <w:sz w:val="24"/>
          <w:lang w:val="ru-RU"/>
        </w:rPr>
        <w:t>” обычно понимается как экспортная цена товара, цена</w:t>
      </w:r>
      <w:r>
        <w:rPr>
          <w:sz w:val="24"/>
          <w:lang w:val="en-US"/>
        </w:rPr>
        <w:t xml:space="preserve"> CIF </w:t>
      </w:r>
      <w:r>
        <w:rPr>
          <w:sz w:val="24"/>
          <w:lang w:val="ru-RU"/>
        </w:rPr>
        <w:t xml:space="preserve">- как импортная. 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Не менее важным вопросом при заключении контракта является вопрос о виде транспорта. Для ответа на этот вопрос необходимо проанализировать следующие факторы: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вид груза;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расстояние и маршрут перевозки;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фактор времени;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8"/>
          <w:lang w:val="ru-RU"/>
        </w:rPr>
      </w:pPr>
      <w:r>
        <w:rPr>
          <w:sz w:val="24"/>
          <w:lang w:val="ru-RU"/>
        </w:rPr>
        <w:t>стоимость</w:t>
      </w:r>
      <w:r>
        <w:rPr>
          <w:sz w:val="24"/>
          <w:lang w:val="en-US"/>
        </w:rPr>
        <w:t xml:space="preserve"> </w:t>
      </w:r>
      <w:r>
        <w:rPr>
          <w:sz w:val="24"/>
          <w:lang w:val="ru-RU"/>
        </w:rPr>
        <w:t>перевозки</w:t>
      </w:r>
      <w:r>
        <w:rPr>
          <w:sz w:val="28"/>
          <w:lang w:val="ru-RU"/>
        </w:rPr>
        <w:t>.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В таблице 4  приведена классификация условий ИНКОТЕРМС по применимым видам транспорта.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    Таблица 4.</w:t>
      </w: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971261"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 транспорта</w:t>
            </w:r>
          </w:p>
        </w:tc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Условие   ИНКОТЕРМС</w:t>
            </w:r>
          </w:p>
        </w:tc>
      </w:tr>
      <w:tr w:rsidR="00971261"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Воздушный</w:t>
            </w:r>
          </w:p>
        </w:tc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FCA</w:t>
            </w:r>
          </w:p>
        </w:tc>
      </w:tr>
      <w:tr w:rsidR="00971261"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Железнодорожный</w:t>
            </w:r>
          </w:p>
        </w:tc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FCA</w:t>
            </w:r>
          </w:p>
        </w:tc>
      </w:tr>
      <w:tr w:rsidR="00971261"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Морской и речной</w:t>
            </w:r>
          </w:p>
        </w:tc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FAS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FOB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CAF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CIF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DEQ</w:t>
            </w:r>
          </w:p>
        </w:tc>
      </w:tr>
      <w:tr w:rsidR="00971261"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Любой вид</w:t>
            </w:r>
          </w:p>
        </w:tc>
        <w:tc>
          <w:tcPr>
            <w:tcW w:w="4264" w:type="dxa"/>
          </w:tcPr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EXW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FCA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CPT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CIP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DAF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DDU</w:t>
            </w:r>
          </w:p>
          <w:p w:rsidR="00971261" w:rsidRDefault="00971261">
            <w:pPr>
              <w:ind w:right="9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>DDP</w:t>
            </w:r>
          </w:p>
        </w:tc>
      </w:tr>
    </w:tbl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6</w:t>
      </w:r>
      <w:r>
        <w:rPr>
          <w:b/>
          <w:sz w:val="24"/>
          <w:lang w:val="ru-RU"/>
        </w:rPr>
        <w:t>.</w:t>
      </w:r>
      <w:r>
        <w:rPr>
          <w:b/>
          <w:sz w:val="24"/>
          <w:u w:val="single"/>
          <w:lang w:val="ru-RU"/>
        </w:rPr>
        <w:t xml:space="preserve"> Цена товара</w:t>
      </w:r>
      <w:r>
        <w:rPr>
          <w:sz w:val="24"/>
          <w:u w:val="single"/>
          <w:lang w:val="ru-RU"/>
        </w:rPr>
        <w:t>.</w:t>
      </w:r>
      <w:r>
        <w:rPr>
          <w:sz w:val="24"/>
          <w:lang w:val="ru-RU"/>
        </w:rPr>
        <w:t xml:space="preserve"> Цена на каждый товар устанавливается за какую-то определенную единицу измерения. Выбор единицы измерения, за которую устанавливается цена, определяется характером товара и практикой которая сложилась на мировом рынке при торговле данным товаром. 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7.</w:t>
      </w:r>
      <w:r>
        <w:rPr>
          <w:sz w:val="24"/>
          <w:u w:val="single"/>
          <w:lang w:val="ru-RU"/>
        </w:rPr>
        <w:t xml:space="preserve"> </w:t>
      </w:r>
      <w:r>
        <w:rPr>
          <w:b/>
          <w:sz w:val="24"/>
          <w:u w:val="single"/>
          <w:lang w:val="ru-RU"/>
        </w:rPr>
        <w:t>Условия платежа</w:t>
      </w:r>
      <w:r>
        <w:rPr>
          <w:b/>
          <w:sz w:val="24"/>
          <w:lang w:val="ru-RU"/>
        </w:rPr>
        <w:t>.</w:t>
      </w:r>
      <w:r>
        <w:rPr>
          <w:sz w:val="24"/>
          <w:lang w:val="ru-RU"/>
        </w:rPr>
        <w:t xml:space="preserve"> Условия платежа определяют в контракте следующие моменты: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способ платежа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средства платежа</w:t>
      </w:r>
    </w:p>
    <w:p w:rsidR="00971261" w:rsidRDefault="00971261">
      <w:pPr>
        <w:numPr>
          <w:ilvl w:val="0"/>
          <w:numId w:val="1"/>
        </w:numPr>
        <w:ind w:left="1003" w:right="91"/>
        <w:jc w:val="both"/>
        <w:rPr>
          <w:sz w:val="24"/>
          <w:lang w:val="ru-RU"/>
        </w:rPr>
      </w:pPr>
      <w:r>
        <w:rPr>
          <w:sz w:val="24"/>
          <w:lang w:val="ru-RU"/>
        </w:rPr>
        <w:t>форму платежа</w:t>
      </w:r>
    </w:p>
    <w:p w:rsidR="00971261" w:rsidRDefault="00971261">
      <w:pPr>
        <w:ind w:right="91" w:firstLine="720"/>
        <w:jc w:val="both"/>
        <w:rPr>
          <w:sz w:val="24"/>
          <w:lang w:val="en-US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Способ платежа показывает, когда производится оплата товара по отношению к моменту его фактической поставки. Существует три способа платежа: платеж наличными, авансовый платеж, платеж в кредит.</w:t>
      </w:r>
    </w:p>
    <w:p w:rsidR="00971261" w:rsidRDefault="00971261">
      <w:pPr>
        <w:ind w:right="91" w:firstLine="720"/>
        <w:jc w:val="both"/>
        <w:rPr>
          <w:sz w:val="24"/>
          <w:lang w:val="en-US"/>
        </w:rPr>
      </w:pP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К формам расчетов, применяемым в международной торговой практике, относятся следующие (даются по степени выгодности для экспортера от наиболее выгодной до наименее выгодной):</w:t>
      </w:r>
    </w:p>
    <w:p w:rsidR="00971261" w:rsidRDefault="00971261">
      <w:pPr>
        <w:numPr>
          <w:ilvl w:val="0"/>
          <w:numId w:val="1"/>
        </w:numPr>
        <w:ind w:left="1123" w:right="91"/>
        <w:jc w:val="both"/>
        <w:rPr>
          <w:sz w:val="24"/>
          <w:lang w:val="ru-RU"/>
        </w:rPr>
      </w:pPr>
      <w:r>
        <w:rPr>
          <w:sz w:val="24"/>
          <w:lang w:val="ru-RU"/>
        </w:rPr>
        <w:t>100% авансовый платеж</w:t>
      </w:r>
    </w:p>
    <w:p w:rsidR="00971261" w:rsidRDefault="00971261">
      <w:pPr>
        <w:numPr>
          <w:ilvl w:val="0"/>
          <w:numId w:val="1"/>
        </w:numPr>
        <w:ind w:left="112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аккредитив</w:t>
      </w:r>
    </w:p>
    <w:p w:rsidR="00971261" w:rsidRDefault="00971261">
      <w:pPr>
        <w:numPr>
          <w:ilvl w:val="0"/>
          <w:numId w:val="1"/>
        </w:numPr>
        <w:ind w:left="112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инкассо</w:t>
      </w:r>
    </w:p>
    <w:p w:rsidR="00971261" w:rsidRDefault="00971261">
      <w:pPr>
        <w:numPr>
          <w:ilvl w:val="0"/>
          <w:numId w:val="1"/>
        </w:numPr>
        <w:ind w:left="1123" w:right="91"/>
        <w:jc w:val="both"/>
        <w:rPr>
          <w:sz w:val="24"/>
          <w:lang w:val="ru-RU"/>
        </w:rPr>
      </w:pPr>
      <w:r>
        <w:rPr>
          <w:sz w:val="24"/>
          <w:lang w:val="ru-RU"/>
        </w:rPr>
        <w:t>открытый счет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pStyle w:val="a4"/>
      </w:pPr>
      <w:r>
        <w:t>Так, в Контракте КЕ-02-ЕС/96 (Приложение 13, п.4.1)  как форму платежа используют 100% предварительную оплату (условия приведены в Приложении), а в Контракте № КЕ - 07 - МК/95 используется 100% безотзывной аккредитив. (см. Приложение 12, п. 4.1). Причем если в контракте условием платежа используется аккредитив, то в контракте должен будет присутствовать пункт об условиях раскрытия аккредитива.</w:t>
      </w: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Подробнее формы расчетов освещаются в пункте 8.</w:t>
      </w:r>
    </w:p>
    <w:p w:rsidR="00971261" w:rsidRDefault="00971261">
      <w:pPr>
        <w:ind w:right="91"/>
        <w:jc w:val="both"/>
        <w:rPr>
          <w:sz w:val="24"/>
          <w:u w:val="single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>8.</w:t>
      </w:r>
      <w:r>
        <w:rPr>
          <w:b/>
          <w:sz w:val="24"/>
          <w:u w:val="single"/>
          <w:lang w:val="ru-RU"/>
        </w:rPr>
        <w:t>Срок и дата поставки</w:t>
      </w:r>
      <w:r>
        <w:rPr>
          <w:sz w:val="24"/>
          <w:u w:val="single"/>
          <w:lang w:val="ru-RU"/>
        </w:rPr>
        <w:t>.</w:t>
      </w:r>
      <w:r>
        <w:rPr>
          <w:sz w:val="24"/>
          <w:lang w:val="ru-RU"/>
        </w:rPr>
        <w:t xml:space="preserve">  Под сроком поставки товара понимается момент, когда продавец обязан передать товар покупателю или по его поручению лицу, действующему от его имени. Количество товара указанное в контракте, может быть поставлено единовременно или по частям (партиями). К примеру в Контракте КЕ-02-ЕС/96 (Приложение 13, п. 3.3) четко оговаривается момент о недопустимости частичной поставки.</w:t>
      </w:r>
    </w:p>
    <w:p w:rsidR="00971261" w:rsidRDefault="00971261">
      <w:pPr>
        <w:pStyle w:val="a4"/>
      </w:pPr>
      <w:r>
        <w:t>Датой поставки называется дата передачи товара в распоряжение покупателя.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sz w:val="24"/>
          <w:u w:val="single"/>
          <w:lang w:val="ru-RU"/>
        </w:rPr>
        <w:t>9.</w:t>
      </w:r>
      <w:r>
        <w:rPr>
          <w:b/>
          <w:sz w:val="24"/>
          <w:u w:val="single"/>
          <w:lang w:val="ru-RU"/>
        </w:rPr>
        <w:t>Упаковка и маркировка</w:t>
      </w:r>
      <w:r>
        <w:rPr>
          <w:sz w:val="24"/>
          <w:lang w:val="ru-RU"/>
        </w:rPr>
        <w:t>.  Обычно в контракте различают внешнюю упаковку - тару (ящики, картонные коробки, бочки, контейнеры и др.) и внутреннюю упаковку, неотделимую от товара. При заключении контракта упаковка товара относится к обязанностям продавца.(пример условия упаковки см. Приложение 13 п.4.4 )</w:t>
      </w:r>
    </w:p>
    <w:p w:rsidR="00971261" w:rsidRDefault="00971261">
      <w:pPr>
        <w:ind w:right="91"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Маркировка, наносимая на упаковку, определяется обычно покупателем и выбирается в зависимости от характера товара, а также условий контракта. </w:t>
      </w:r>
    </w:p>
    <w:p w:rsidR="00971261" w:rsidRDefault="00971261">
      <w:pPr>
        <w:ind w:right="91"/>
        <w:jc w:val="both"/>
        <w:rPr>
          <w:sz w:val="24"/>
          <w:lang w:val="ru-RU"/>
        </w:rPr>
      </w:pPr>
    </w:p>
    <w:p w:rsidR="00971261" w:rsidRDefault="00971261">
      <w:pPr>
        <w:ind w:right="91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Маркировка должна включать</w:t>
      </w:r>
      <w:r>
        <w:rPr>
          <w:sz w:val="24"/>
          <w:lang w:val="ru-RU"/>
        </w:rPr>
        <w:t>: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наименование продавца;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наименование покупателя;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номер контракта;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место назначения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номер упаковочной единицы и их общее количество;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габариты упаковочной единицы;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вес упаковочной единицы брутто;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вес упаковочной единицы нетто;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указания по транспортировке и погрузке-разгрузке (“верх”, “низ”, “осторожно” и т.п.;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указания во избежание инцендентов при транспортировке опасных товаров;</w:t>
      </w:r>
    </w:p>
    <w:p w:rsidR="00971261" w:rsidRDefault="00971261">
      <w:pPr>
        <w:numPr>
          <w:ilvl w:val="0"/>
          <w:numId w:val="8"/>
        </w:numPr>
        <w:ind w:right="91"/>
        <w:jc w:val="both"/>
        <w:rPr>
          <w:sz w:val="24"/>
          <w:lang w:val="ru-RU"/>
        </w:rPr>
      </w:pPr>
      <w:r>
        <w:rPr>
          <w:sz w:val="24"/>
          <w:lang w:val="ru-RU"/>
        </w:rPr>
        <w:t>страну изготовления товара.</w:t>
      </w:r>
    </w:p>
    <w:p w:rsidR="00971261" w:rsidRDefault="00971261">
      <w:pPr>
        <w:numPr>
          <w:ilvl w:val="12"/>
          <w:numId w:val="0"/>
        </w:numPr>
        <w:ind w:left="283" w:right="91" w:hanging="283"/>
        <w:jc w:val="both"/>
        <w:rPr>
          <w:sz w:val="24"/>
          <w:lang w:val="ru-RU"/>
        </w:rPr>
      </w:pPr>
    </w:p>
    <w:p w:rsidR="00971261" w:rsidRDefault="00971261">
      <w:bookmarkStart w:id="0" w:name="_GoBack"/>
      <w:bookmarkEnd w:id="0"/>
    </w:p>
    <w:sectPr w:rsidR="0097126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F23F5"/>
    <w:multiLevelType w:val="singleLevel"/>
    <w:tmpl w:val="59E4F06A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4E956348"/>
    <w:multiLevelType w:val="singleLevel"/>
    <w:tmpl w:val="F6AA69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15F3"/>
    <w:rsid w:val="001415F3"/>
    <w:rsid w:val="00971261"/>
    <w:rsid w:val="00DA2AC8"/>
    <w:rsid w:val="00E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FB0F0-8E91-43AC-ABAC-E19D20AE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ind w:right="91"/>
      <w:jc w:val="center"/>
      <w:outlineLvl w:val="0"/>
    </w:pPr>
    <w:rPr>
      <w:b/>
      <w:i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pPr>
      <w:ind w:right="91" w:firstLine="720"/>
      <w:jc w:val="both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ДГУ</vt:lpstr>
    </vt:vector>
  </TitlesOfParts>
  <Company>Home</Company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ДГУ</dc:title>
  <dc:subject/>
  <dc:creator>Lesya</dc:creator>
  <cp:keywords/>
  <cp:lastModifiedBy>admin</cp:lastModifiedBy>
  <cp:revision>2</cp:revision>
  <dcterms:created xsi:type="dcterms:W3CDTF">2014-02-07T10:43:00Z</dcterms:created>
  <dcterms:modified xsi:type="dcterms:W3CDTF">2014-02-07T10:43:00Z</dcterms:modified>
</cp:coreProperties>
</file>