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82" w:rsidRDefault="0010358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МИФИ</w:t>
      </w:r>
    </w:p>
    <w:p w:rsidR="00103582" w:rsidRDefault="00103582">
      <w:pPr>
        <w:jc w:val="center"/>
        <w:rPr>
          <w:sz w:val="24"/>
          <w:szCs w:val="24"/>
        </w:rPr>
      </w:pPr>
    </w:p>
    <w:p w:rsidR="00103582" w:rsidRDefault="00103582">
      <w:pPr>
        <w:jc w:val="center"/>
        <w:rPr>
          <w:sz w:val="24"/>
          <w:szCs w:val="24"/>
        </w:rPr>
      </w:pPr>
      <w:r>
        <w:rPr>
          <w:sz w:val="24"/>
          <w:szCs w:val="24"/>
        </w:rPr>
        <w:t>кафедра 20</w:t>
      </w:r>
    </w:p>
    <w:p w:rsidR="00103582" w:rsidRDefault="00103582">
      <w:pPr>
        <w:jc w:val="center"/>
        <w:rPr>
          <w:sz w:val="24"/>
          <w:szCs w:val="24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4"/>
          <w:szCs w:val="24"/>
          <w:lang w:val="en-US"/>
        </w:rPr>
      </w:pPr>
    </w:p>
    <w:p w:rsidR="00103582" w:rsidRDefault="0010358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Подготовка войск специального назначения в России.</w:t>
      </w: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</w:p>
    <w:p w:rsidR="00103582" w:rsidRDefault="00103582">
      <w:pPr>
        <w:jc w:val="right"/>
        <w:rPr>
          <w:sz w:val="24"/>
          <w:szCs w:val="24"/>
        </w:rPr>
      </w:pPr>
      <w:r>
        <w:rPr>
          <w:sz w:val="24"/>
          <w:szCs w:val="24"/>
        </w:rPr>
        <w:t>Лавка Андрей Павлович</w:t>
      </w:r>
    </w:p>
    <w:p w:rsidR="00103582" w:rsidRDefault="00103582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Группа К7-02а</w:t>
      </w: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  <w:lang w:val="en-US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  <w:u w:val="single"/>
        </w:rPr>
      </w:pPr>
    </w:p>
    <w:p w:rsidR="00103582" w:rsidRDefault="00103582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Москва 1996</w:t>
      </w:r>
    </w:p>
    <w:p w:rsidR="00103582" w:rsidRDefault="0010358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Вступление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Войска специального назначения (далее спецназ) в том или ином виде есть в распоряжении практически любого государства мира и являются элитными подразделениями этой страны. Вообще говоря, спецназ (войска специального назначения) - собирательный термин. Под спецназом подразумевают средства и органы специальной разведки Российской Армии и ВМФ, а также спецслужб и оперативных формирований службы безопасности Президента Российской Федерации, Федеральной Службы Безопасности и федеральной пограничной службы, Министерства Внутренних Дел и их войск. Данный реферат преследует целью проанализировать возможный стиль подготовки и работы современного спецназа: необходимые спецназовцу навыки и знания, а также возможные схемы действий групп спецназа в реальном боевом задании. 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Естественно, что так как конкретная политико-экономическая, социальная, национально-этническая и языковая ситуация для каждого конкретного района мира является специфической, а также меняется со временем, то подготовка группы спецназа отвечающей за этот район будет согласна специфике местности.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Современный спецназ должен отвечать современным условиям, таким образом, подготовка, состав, оснащенность и приёмы работы спецназа не такие как 10-20 лет. Изменившаяся геополитическая картина мира и текущее состояние нашей страны также должно было отразиться на войсках специального назначения. А так как в официальных источника информации по этому вопросу количество правды не превышает 30</w:t>
      </w:r>
      <w:r>
        <w:rPr>
          <w:sz w:val="24"/>
          <w:szCs w:val="24"/>
        </w:rPr>
        <w:sym w:font="Symbol" w:char="F025"/>
      </w:r>
      <w:r>
        <w:rPr>
          <w:sz w:val="24"/>
          <w:szCs w:val="24"/>
        </w:rPr>
        <w:t xml:space="preserve"> и даже эти источники не являются общедоступными, то в основном пришлось использовать лишь широкодоступные источники - художественную литературу, показания специалистов и тому подобные ненадежные, устаревшие и неполные сведения. Таким образом, многое в этом реферате основано лишь на здравом смысле и выводах сделанных на основе современной ситуации в мире. Необходимо также учесть, что эти выводы не учитывают текущее плачевное состояние России и российской армии, а исходят из нормального и здорового подхода к заботе об армии и безопасности государства. Следовательно, возможно здравые предположения в этом реферате могут не отвечать реальному положению дел в спецназе.</w:t>
      </w:r>
    </w:p>
    <w:p w:rsidR="00103582" w:rsidRDefault="00103582">
      <w:pPr>
        <w:ind w:left="142" w:right="-199" w:firstLine="567"/>
        <w:jc w:val="center"/>
        <w:rPr>
          <w:sz w:val="24"/>
          <w:szCs w:val="24"/>
          <w:u w:val="single"/>
        </w:rPr>
      </w:pPr>
    </w:p>
    <w:p w:rsidR="00103582" w:rsidRDefault="00103582">
      <w:pPr>
        <w:ind w:left="142" w:right="-199" w:firstLine="567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Предназначение войск специального назначения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Войска спецназначения предназначены для подготовки нападения на территорию противника и объявления войны. Таким образом, действия спецназа предшествуют нападению армии на враждебное государство.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Цели и задачи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месяц или менее до объявления войны группы спецназа внедряются на глубину до 2000 километров на территорию противника и скрытно проводят задачи по облегчению дальнейших крупномасштабных действий своих войск. Основными задачами являются: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дезорганизация управления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разведка важных объектов противника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совершение диверсий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нападение на особо важные объекты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применение в тылу противника оружия массового поражения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caps/>
          <w:sz w:val="24"/>
          <w:szCs w:val="24"/>
        </w:rPr>
      </w:pPr>
      <w:r>
        <w:rPr>
          <w:i/>
          <w:iCs/>
          <w:sz w:val="24"/>
          <w:szCs w:val="24"/>
        </w:rPr>
        <w:t>деморализация войск и населения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Основная цель это внесение хаоса и беспорядка по возможности скрытно. Вражеские службы безопасности не должны догадываться о существовании действующих групп диверсантов в своих тылах, если нет намерения раскрыть подготовку к началу войны.</w:t>
      </w:r>
    </w:p>
    <w:p w:rsidR="00103582" w:rsidRDefault="00103582">
      <w:pPr>
        <w:ind w:left="142" w:right="-199"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Далее раскрывается смысл задач спецназа: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1"/>
        </w:numPr>
        <w:ind w:left="709" w:right="-242" w:firstLine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Дезорганизация управления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- это есть действия направленные на повреждение или уничтожение средств и каналов связи противника; установка устройств, повреждающих канал связи к какому-то сроку; организация дезинформации различными способами: например, путем подключения к каналу связи; повреждение телекоммуникаций и телекоммуникационного оборудования и тому подобное. Цель всего этого - затруднить командованию противника управление войсками и задержать информацию о нападении.</w:t>
      </w:r>
    </w:p>
    <w:p w:rsidR="00103582" w:rsidRDefault="00103582">
      <w:pPr>
        <w:numPr>
          <w:ilvl w:val="12"/>
          <w:numId w:val="0"/>
        </w:numPr>
        <w:ind w:left="142" w:right="-242" w:firstLine="284"/>
        <w:jc w:val="both"/>
        <w:rPr>
          <w:sz w:val="24"/>
          <w:szCs w:val="24"/>
        </w:rPr>
      </w:pPr>
      <w:r>
        <w:rPr>
          <w:sz w:val="24"/>
          <w:szCs w:val="24"/>
        </w:rPr>
        <w:t>Также дезорганизация достигается путём устранения ключевых фигур государства: министров, премьер-министров и заместителей министров, главнокомандующего, президента, командующих военными округами и их основных заместителей и так далее. Против этих также возможен подкуп, шантаж, психологическое давление и тому подобное.</w:t>
      </w:r>
    </w:p>
    <w:p w:rsidR="00103582" w:rsidRDefault="00103582">
      <w:pPr>
        <w:numPr>
          <w:ilvl w:val="12"/>
          <w:numId w:val="0"/>
        </w:numPr>
        <w:ind w:left="709" w:right="-242"/>
        <w:jc w:val="both"/>
        <w:rPr>
          <w:sz w:val="24"/>
          <w:szCs w:val="24"/>
        </w:rPr>
      </w:pPr>
    </w:p>
    <w:p w:rsidR="00103582" w:rsidRDefault="00103582">
      <w:pPr>
        <w:numPr>
          <w:ilvl w:val="12"/>
          <w:numId w:val="0"/>
        </w:numPr>
        <w:ind w:left="709" w:right="-242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1"/>
        </w:numPr>
        <w:ind w:left="709" w:right="-2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Разведка важных объектов противника.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 разведкой важных объектов противника подразумевается получение и передача информации об объектах, имеющих стратегическое назначение. Проводится наблюдение и фотографирование местности: дорог, улиц городов, зданий и других ориентиров, которые должны помочь прохождению наших войск. Исходя из информации, полученной из других источников (внешняя разведка, информация, полученная со спутников и т.п.), производится поиск и наблюдение за военными объектами: пусковыми шахтами ядерных ракет, оборонительными сооружениями, военными гарнизонами и т.д.; а также важными невоенными, но имеющими стратегическую ценность объектами: больницы, заводы, фабрики, теле и радиостанции и т.д.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Совершение диверсий.</w:t>
      </w:r>
    </w:p>
    <w:p w:rsidR="00103582" w:rsidRDefault="00103582">
      <w:pPr>
        <w:ind w:left="142" w:right="-199"/>
        <w:jc w:val="both"/>
        <w:rPr>
          <w:sz w:val="24"/>
          <w:szCs w:val="24"/>
        </w:rPr>
      </w:pPr>
      <w:r>
        <w:rPr>
          <w:sz w:val="24"/>
          <w:szCs w:val="24"/>
        </w:rPr>
        <w:t>Совершение диверсий преследует целью уничтожение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 повреждение важных объектов противника путем проведения взрывов, поджогов, повреждения различного оборудования, и тому подобных действий, возможно, ведущих к человеческим жертвам. В качестве цели диверсии могут выступать: промышленные предприятия стратегической важности, электростанции различных типов, плотины и так далее. Также целью может служить нарушение экологического равновесия.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Нападение на особо важные объекты.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Цели те же, что и при совершении диверсий, отличие лишь в методах. Если при проведении диверсии важна скрытность, то при нападении очень важен психологический момент.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709" w:right="-199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Применение в тылу противника оружия массового поражения.</w:t>
      </w:r>
    </w:p>
    <w:p w:rsidR="00103582" w:rsidRDefault="00103582">
      <w:pPr>
        <w:ind w:right="-198"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Группа спецназа может иметь приказ на применение оружия массового поражения (ОМП) в глубоком тылу противника: в густонаселённых или особо важных промышленных районах для нанесения массовых потерь и разрушений. К существующим видам ОМП относится ядерное, химическое и бактериологическое (биологическое) оружие.</w:t>
      </w:r>
    </w:p>
    <w:p w:rsidR="00103582" w:rsidRDefault="00103582">
      <w:pPr>
        <w:ind w:right="-198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ОМП могут выступать: персональные ранцы с ядерным зарядом небольшой мощности и все доступные ядерные заряды, различные химические отравляющие вещества унарного и бинарного типов, насекомые и животные, зараженные различными опасными заболеваниями, бактериальные средства, лучевое оружие (лазерное, пучковое, высокочастотное) и другое. Массовое поражение может достигаться не только средствами, принесёнными группой с собой, но и умелым проведением диверсий: взрывы на химических предприятиях, предприятиях использующих ядовитые химические вещества, взрывы различных ёмкостей с ядовитыми химическими веществами. Также с этой целью могут использоваться атомные энергетические станции - одновременно обесточивается некоторый район и происходит радиационное заражение местности. Хороших результатов также можно добиться при взрыве гидротехнических сооружений: плотин, каналов, шлюзов, гидроэлектростанций.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caps/>
          <w:sz w:val="24"/>
          <w:szCs w:val="24"/>
        </w:rPr>
      </w:pPr>
      <w:r>
        <w:rPr>
          <w:i/>
          <w:iCs/>
          <w:sz w:val="24"/>
          <w:szCs w:val="24"/>
        </w:rPr>
        <w:t>Деморализация войск и населения.</w:t>
      </w:r>
    </w:p>
    <w:p w:rsidR="00103582" w:rsidRDefault="00103582">
      <w:pPr>
        <w:ind w:right="-198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Деморализация может достигаться вышеприведенными методами, а также другими.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Состав и оснащение группы спецназа 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 группы спецназа сильно зависит от задач поставленных группе и от условий, в которых она будет работать. В классическую группу специального назначения входят три батальона спецназа, плюс штабная рота, роты обслуживания, связи и разведки. Вооружение и снаряжение такой группы составляет личное стрелковое оружие, пулемёты, гранатометы, автомобили, разведывательные самолеты и вертолёты. Таким образом, численный состав группы доходит до 1500 человек. Возможно, такой состав приемлем для использования в некоторых случаях, однако современный мир диктует свои условия.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условия современного мира действие до начала войны такого большого отряда, оснащенного и вооруженного подобным образом, не может остаться незамеченным, что крайне необходимо. Обнаружение группы мало того, что приведет к раскрытию планов нашей страны, но и к огромным потерям как в самой группе спецназа так и в дальнейшем при нападении и объявлении войны, так как даст противнику основательно подготовиться к началу войны.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целесообразно использовать несколько не связанных между собой диверсионно-разведывательных групп (ДРГ) соответственно вооруженных и оснащенных и имеющих каждая собственные задачи. Количественный состав ДРГ также зависит от задач поставленных ей (так же как профессиональный состав и оснащенность) и должен быть в пределах 3-7 человек.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Желательно чтобы состав ДРГ отвечал какому-то одному или нескольким классам задач. Например, в ДРГ в задачи, которой входит проведение диверсий на АЭС могут входить: </w:t>
      </w:r>
    </w:p>
    <w:p w:rsidR="00103582" w:rsidRDefault="00103582">
      <w:pPr>
        <w:ind w:left="142" w:right="-199" w:firstLine="567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2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специалист, имеющий образование физика-ядерщика и опыт работы на АЭС, досконально знающий устройство АЭС;</w:t>
      </w:r>
    </w:p>
    <w:p w:rsidR="00103582" w:rsidRDefault="00103582">
      <w:pPr>
        <w:numPr>
          <w:ilvl w:val="0"/>
          <w:numId w:val="2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по системам безопасности;</w:t>
      </w:r>
    </w:p>
    <w:p w:rsidR="00103582" w:rsidRDefault="00103582">
      <w:pPr>
        <w:numPr>
          <w:ilvl w:val="0"/>
          <w:numId w:val="2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специалист-взрывник;</w:t>
      </w:r>
    </w:p>
    <w:p w:rsidR="00103582" w:rsidRDefault="00103582">
      <w:pPr>
        <w:numPr>
          <w:ilvl w:val="0"/>
          <w:numId w:val="2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связист;</w:t>
      </w:r>
    </w:p>
    <w:p w:rsidR="00103582" w:rsidRDefault="00103582">
      <w:pPr>
        <w:numPr>
          <w:ilvl w:val="0"/>
          <w:numId w:val="2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один или несколько людей прикрытия.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в составе ДРГ должны быть: специалист по конкретной </w:t>
      </w:r>
      <w:r>
        <w:rPr>
          <w:sz w:val="24"/>
          <w:szCs w:val="24"/>
          <w:lang w:val="en-US"/>
        </w:rPr>
        <w:t>«</w:t>
      </w:r>
      <w:r>
        <w:rPr>
          <w:sz w:val="24"/>
          <w:szCs w:val="24"/>
        </w:rPr>
        <w:t>теме</w:t>
      </w:r>
      <w:r>
        <w:rPr>
          <w:sz w:val="24"/>
          <w:szCs w:val="24"/>
          <w:lang w:val="en-US"/>
        </w:rPr>
        <w:t>»</w:t>
      </w:r>
      <w:r>
        <w:rPr>
          <w:sz w:val="24"/>
          <w:szCs w:val="24"/>
        </w:rPr>
        <w:t>, в которой работает группа - его наличие обусловлено необходимой спецификой и глубиной знаний из конкретной области; специалист по системам безопасности - для проникновения на охраняемые территории с автоматическими средствами обеспечения безопасности; специалист по взрывному делу - если надо что-то взорвать (непосредственно его может не быть как отдельной фигуры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; специалисты-убийцы  - для ликвидации охраны и т.д.; возможно связист; люди прикрытия и обеспечения.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оснащения группа может использовать самое различное оборудование и вооружение. Однако, так как не должен прослеживаться национальный след, необходимо не использовать виды оборудования и оружия, указывающих на Россию. Также нежелательно использовать особо редкое и специфичное оборудование, отличное от того какое могут достать и обычно используют преступные группы. Соответственно вооружение и почерк должен быть как у преступников - для того, чтобы была задействована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лишь местная полиция.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</w:p>
    <w:p w:rsidR="00103582" w:rsidRDefault="00103582">
      <w:pPr>
        <w:ind w:left="709" w:right="-19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Модели действий в тылу противника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Нежелательно, чтобы ДРГ, вооруженная до зубов, при действии в густонаселенном районе с развитой инфраструктурой, бегала в камуфляжах по лесам и ночевала под открытым небом. Поэтому очень хорошо что бы группа жила в отеле, вместо камуфляжа носила джинсы, использовало оружие распространенное в этом районе и ездила по дорогам на автомобилях. Прикрытие для группы может быть самое разное: туристическая группа, спортсмены - участники олимпийской сборной по спортивному ориентированию, бизнесмены, комивояжеры и т.д. Поэтому очень важным элементом в  подготовке группы является знание местных обычаев, обычаев страны и т.д.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Рассмотрим примерный случай.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Задание группе - взорвать атомную электростанцию и устроить экологическую катастрофу на большой территории.  Группа в составе 4-5 человек проникает, используя ранее полученные разведывательные сведения, на территорию под видом инспекции и, обездвижив охрану подручными средствами, вводит главный реактор в критический режим. Затем группа уходит. Особенность состоит в том, чтобы создалось впечатление что работали непрофессионалы. Внешний вид, манера говорить должны быть соответственными: например длинные волосы, старые джинсы, серьги пацифистские значки и т.п. Неплохо было бы работать под конкретную экстремистскую организацию - подбросить улики ее членам, явно или неявно («случайно») использовать атрибутику этой организации или следы указывающие на нее.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Боевая подготовка</w:t>
      </w:r>
    </w:p>
    <w:p w:rsidR="00103582" w:rsidRDefault="00103582">
      <w:pPr>
        <w:ind w:right="-199" w:firstLine="709"/>
        <w:jc w:val="both"/>
        <w:rPr>
          <w:sz w:val="24"/>
          <w:szCs w:val="24"/>
          <w:u w:val="single"/>
        </w:rPr>
      </w:pPr>
    </w:p>
    <w:p w:rsidR="00103582" w:rsidRDefault="00103582">
      <w:pPr>
        <w:ind w:right="-199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Как говорилось выше, подготовка группы бойцов спецназа должна соответствовать конкретным условиям работы, однако есть «классические» разделы боевой подготовки присутствующие, с некоторыми изменениями, в большинстве спецподразделений.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 пункты, входящие в боевую подготовку бойца спецназа, изображены на схеме: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103582" w:rsidRDefault="00EE35DE">
      <w:pPr>
        <w:ind w:right="-199" w:firstLine="709"/>
        <w:jc w:val="center"/>
        <w:rPr>
          <w:sz w:val="24"/>
          <w:szCs w:val="24"/>
        </w:rPr>
      </w:pPr>
      <w:r>
        <w:rPr>
          <w:noProof/>
        </w:rPr>
        <w:pict>
          <v:rect id="_x0000_s1026" style="position:absolute;left:0;text-align:left;margin-left:339.85pt;margin-top:115.2pt;width:108.05pt;height:36.05pt;z-index:251657728" o:allowincell="f" filled="f">
            <v:textbox inset="1pt,1pt,1pt,1pt">
              <w:txbxContent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Общая подготовка</w:t>
                  </w:r>
                </w:p>
              </w:txbxContent>
            </v:textbox>
          </v:rect>
        </w:pict>
      </w:r>
      <w:r>
        <w:rPr>
          <w:noProof/>
        </w:rPr>
        <w:pict>
          <v:line id="_x0000_s1027" style="position:absolute;left:0;text-align:left;z-index:251663872" from="217.45pt,36pt" to="217.5pt,115.2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left:0;text-align:left;z-index:251662848" from="66.25pt,36pt" to="66.3pt,115.2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left:0;text-align:left;flip:y;z-index:251661824" from="289.45pt,36pt" to="289.5pt,57.6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left:0;text-align:left;flip:y;z-index:251660800" from="138.25pt,36pt" to="138.3pt,57.6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shape id="_x0000_s1031" style="position:absolute;left:0;text-align:left;margin-left:1.45pt;margin-top:36pt;width:388.85pt;height:79.25pt;z-index:251659776;mso-position-horizontal-relative:text;mso-position-vertical-relative:text" coordsize="20000,20000" o:allowincell="f" path="m,5451l,,19997,r,19987e" filled="f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shape id="_x0000_s1032" style="position:absolute;left:0;text-align:left;margin-left:210.25pt;margin-top:14.4pt;width:.05pt;height:21.65pt;z-index:251658752;mso-position-horizontal-relative:text;mso-position-vertical-relative:text" coordsize="20000,20000" o:allowincell="f" path="m,l,19954e" filled="f">
            <v:stroke startarrowwidth="narrow" startarrowlength="short" endarrowwidth="narrow" endarrowlength="short"/>
            <v:path arrowok="t"/>
          </v:shape>
        </w:pict>
      </w:r>
      <w:r>
        <w:rPr>
          <w:noProof/>
        </w:rPr>
        <w:pict>
          <v:rect id="_x0000_s1033" style="position:absolute;left:0;text-align:left;margin-left:181.45pt;margin-top:115.2pt;width:115.25pt;height:36.05pt;z-index:251655680" o:allowincell="f" filled="f">
            <v:textbox inset="1pt,1pt,1pt,1pt">
              <w:txbxContent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Разведывательная подготовка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51.85pt;margin-top:115.2pt;width:86.45pt;height:36.05pt;z-index:251653632" o:allowincell="f" filled="f">
            <v:textbox inset="1pt,1pt,1pt,1pt">
              <w:txbxContent>
                <w:p w:rsidR="00103582" w:rsidRDefault="0010358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Огневая</w:t>
                  </w:r>
                </w:p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подготовка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-48.95pt;margin-top:57.6pt;width:93.65pt;height:36.05pt;z-index:251652608" o:allowincell="f" filled="f">
            <v:textbox inset="1pt,1pt,1pt,1pt">
              <w:txbxContent>
                <w:p w:rsidR="00103582" w:rsidRDefault="00103582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Специальная</w:t>
                  </w:r>
                </w:p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подготовка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80.65pt;margin-top:57.6pt;width:115.25pt;height:36.05pt;z-index:251654656" o:allowincell="f" filled="f">
            <v:textbox inset="1pt,1pt,1pt,1pt">
              <w:txbxContent>
                <w:p w:rsidR="00103582" w:rsidRDefault="00103582">
                  <w:pPr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 xml:space="preserve">Минно-подрывная </w:t>
                  </w:r>
                </w:p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подготовка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231.85pt;margin-top:57.6pt;width:115.25pt;height:36.05pt;z-index:251656704" o:allowincell="f" filled="f">
            <v:textbox inset="1pt,1pt,1pt,1pt">
              <w:txbxContent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Радиотехническая подготовка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152.65pt;margin-top:-21.6pt;width:122.45pt;height:36.05pt;z-index:251651584" o:allowincell="f" filled="f">
            <v:textbox inset="1pt,1pt,1pt,1pt">
              <w:txbxContent>
                <w:p w:rsidR="00103582" w:rsidRDefault="00103582"/>
                <w:p w:rsidR="00103582" w:rsidRDefault="00103582">
                  <w:pPr>
                    <w:jc w:val="center"/>
                  </w:pPr>
                  <w:r>
                    <w:rPr>
                      <w:rFonts w:ascii="Courier New" w:hAnsi="Courier New" w:cs="Courier New"/>
                      <w:b/>
                      <w:bCs/>
                      <w:sz w:val="22"/>
                      <w:szCs w:val="22"/>
                    </w:rPr>
                    <w:t>Боевая подготовка</w:t>
                  </w:r>
                </w:p>
                <w:p w:rsidR="00103582" w:rsidRDefault="00103582">
                  <w:pPr>
                    <w:jc w:val="center"/>
                  </w:pPr>
                </w:p>
              </w:txbxContent>
            </v:textbox>
          </v:rect>
        </w:pict>
      </w:r>
      <w:r w:rsidR="001035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Далее раскрывается содержание составляющих боевой подготовки: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1"/>
        </w:numPr>
        <w:ind w:right="-19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Специальная подготовка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1)Теория специальной подготовки.</w:t>
      </w:r>
    </w:p>
    <w:p w:rsidR="00103582" w:rsidRDefault="00103582">
      <w:pPr>
        <w:ind w:left="851" w:right="-199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этот раздел специальной подготовки входит получение знаний, отвечающих специфике работы спецподразделения (например для боевых пловцов - материальная часть подводного снаряжения).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2)Специальная физиология и медицина.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3)Учебно-тренировочные и боевые упражнения.</w:t>
      </w:r>
    </w:p>
    <w:p w:rsidR="00103582" w:rsidRDefault="00103582">
      <w:pPr>
        <w:numPr>
          <w:ilvl w:val="0"/>
          <w:numId w:val="1"/>
        </w:numPr>
        <w:ind w:left="709" w:right="-199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Огневая подготовка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1)Материальная часть стрелкового оружия.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2)Основы стрельбы. Способы стрельбы.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3)Практические стрельбы из стрелкового оружия.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4)Материальная часть спец. оружия и его назначение.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5)Основы стрельбы из спец. оружия. Способы стрельбы из спец. оружия.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6)Практические стрельбы из спец. оружия.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Минно-подрывная подготовка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1)Теория минно-подрывного дела.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2)Сведения о ВВ и СВ.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3)Практика минно-подрывной работы.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Радиотехническая подготовка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1)Материальная часть радиосредств.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2)Правила и способы ведения связи.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3)Кодирование и расшифровка передач по специальным таблицам.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Разведывательная подготовка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1)Сведения о противнике его вооружении, тактике и способы действий, местах базирования.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2)Ориентирование на местности, топография и маскировка.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Общая подготовка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1)ОФП.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2)Рукопашный бой.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3)Особые виды борьбы с использованием различного колющего и режущего оружия.</w:t>
      </w:r>
    </w:p>
    <w:p w:rsidR="00103582" w:rsidRDefault="00103582">
      <w:pPr>
        <w:ind w:left="1134" w:right="-199"/>
        <w:jc w:val="both"/>
        <w:rPr>
          <w:sz w:val="24"/>
          <w:szCs w:val="24"/>
        </w:rPr>
      </w:pPr>
      <w:r>
        <w:rPr>
          <w:sz w:val="24"/>
          <w:szCs w:val="24"/>
        </w:rPr>
        <w:t>4)Выживание в различных условиях.</w:t>
      </w:r>
    </w:p>
    <w:p w:rsidR="00103582" w:rsidRDefault="00103582">
      <w:pPr>
        <w:ind w:right="-19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Выше представленная схема подготовки является классической, однако, может и должна дополнятся для спецподразделений работающих в тылу врага. В частности, по необходимости, могут быть добавлены следующие разделы в боевой подготовке: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Изучение федеральных законов, полевых наставлений и других необходимых нормативных документов и законов, международных конвенций, военных законодательств и т.д.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Обычаи и стереотипы поведения местного населения и полиции.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Вождение различных транспортных средств (легковые и  грузовые автомобили, трактора, боевые машины пехоты, танки).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Изучение устройства и стрельба из оружия распространенного в районе работы (не только оружие используемое в армии и полиции, но и  широко используемое преступниками, т.е. имеющееся в законной продаже и на черном рынке).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Спецоборудование используемое полицией, армией и службами государственной безопасности.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Системы безопасности (сейфы, сигнализации, мониторы наблюдения и т.д.).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Ведение допроса.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Общая гуманитарно-культурная подготовка.</w:t>
      </w:r>
    </w:p>
    <w:p w:rsidR="00103582" w:rsidRDefault="00103582">
      <w:pPr>
        <w:numPr>
          <w:ilvl w:val="0"/>
          <w:numId w:val="1"/>
        </w:numPr>
        <w:ind w:right="-199"/>
        <w:jc w:val="both"/>
        <w:rPr>
          <w:sz w:val="24"/>
          <w:szCs w:val="24"/>
        </w:rPr>
      </w:pPr>
      <w:r>
        <w:rPr>
          <w:sz w:val="24"/>
          <w:szCs w:val="24"/>
        </w:rPr>
        <w:t>Местная культура и язык.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подготовке группы очень важна взаимозаменяемость и независимость ее бойцов друг от друга.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Заключение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заключении можно сказать, что данный реферат не претендует на полноту описания специфики подготовки спецподразделений, из-за большого количества оных и выполняемых ими задач. Однако взятые здесь за основу диверсионно-разведывательные группы являются наиболее интересными и передовыми подразделениями Российской Армии и их подготовка в наибольшей мере отвечает современным условиям.  </w:t>
      </w:r>
    </w:p>
    <w:p w:rsidR="00103582" w:rsidRDefault="00103582">
      <w:pPr>
        <w:ind w:right="-199"/>
        <w:jc w:val="both"/>
        <w:rPr>
          <w:sz w:val="24"/>
          <w:szCs w:val="24"/>
        </w:rPr>
      </w:pPr>
    </w:p>
    <w:p w:rsidR="00103582" w:rsidRDefault="00103582">
      <w:pPr>
        <w:ind w:right="-199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Список литературы</w:t>
      </w:r>
    </w:p>
    <w:p w:rsidR="00103582" w:rsidRDefault="00103582">
      <w:pPr>
        <w:ind w:right="-199" w:firstLine="709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bCs/>
          <w:sz w:val="24"/>
          <w:szCs w:val="24"/>
        </w:rPr>
        <w:t>Виктор Суворов</w:t>
      </w:r>
      <w:r>
        <w:rPr>
          <w:sz w:val="24"/>
          <w:szCs w:val="24"/>
        </w:rPr>
        <w:t xml:space="preserve"> «Аквариум».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b/>
          <w:bCs/>
          <w:sz w:val="24"/>
          <w:szCs w:val="24"/>
        </w:rPr>
        <w:t>Виктор Суворов</w:t>
      </w:r>
      <w:r>
        <w:rPr>
          <w:sz w:val="24"/>
          <w:szCs w:val="24"/>
        </w:rPr>
        <w:t xml:space="preserve"> «Спецназ».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b/>
          <w:bCs/>
          <w:sz w:val="24"/>
          <w:szCs w:val="24"/>
        </w:rPr>
        <w:t>Пикуль В.С.</w:t>
      </w:r>
      <w:r>
        <w:rPr>
          <w:sz w:val="24"/>
          <w:szCs w:val="24"/>
        </w:rPr>
        <w:t xml:space="preserve"> «Честь имею: Исповедь офицера                 российского Генштаба».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  <w:r>
        <w:rPr>
          <w:sz w:val="24"/>
          <w:szCs w:val="24"/>
        </w:rPr>
        <w:t>4.Журнал «Спецназ» №№ 1,2,3 1996 г.</w:t>
      </w:r>
    </w:p>
    <w:p w:rsidR="00103582" w:rsidRDefault="00103582">
      <w:pPr>
        <w:ind w:left="709" w:right="-199"/>
        <w:jc w:val="both"/>
        <w:rPr>
          <w:sz w:val="24"/>
          <w:szCs w:val="24"/>
        </w:rPr>
      </w:pPr>
      <w:r>
        <w:rPr>
          <w:sz w:val="24"/>
          <w:szCs w:val="24"/>
        </w:rPr>
        <w:t>5.Журнал «Военное обозрение» № 3 1995 г.</w:t>
      </w: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</w:p>
    <w:p w:rsidR="00103582" w:rsidRDefault="00103582">
      <w:pPr>
        <w:ind w:right="-19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bookmarkStart w:id="0" w:name="_GoBack"/>
      <w:bookmarkEnd w:id="0"/>
    </w:p>
    <w:sectPr w:rsidR="00103582">
      <w:footerReference w:type="default" r:id="rId7"/>
      <w:pgSz w:w="11907" w:h="16840" w:code="9"/>
      <w:pgMar w:top="1134" w:right="1134" w:bottom="1134" w:left="1134" w:header="720" w:footer="12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582" w:rsidRDefault="00103582">
      <w:r>
        <w:separator/>
      </w:r>
    </w:p>
  </w:endnote>
  <w:endnote w:type="continuationSeparator" w:id="0">
    <w:p w:rsidR="00103582" w:rsidRDefault="0010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582" w:rsidRDefault="00F11876">
    <w:pPr>
      <w:pStyle w:val="a6"/>
      <w:framePr w:wrap="auto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103582" w:rsidRDefault="001035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582" w:rsidRDefault="00103582">
      <w:r>
        <w:separator/>
      </w:r>
    </w:p>
  </w:footnote>
  <w:footnote w:type="continuationSeparator" w:id="0">
    <w:p w:rsidR="00103582" w:rsidRDefault="0010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FE0C482"/>
    <w:lvl w:ilvl="0">
      <w:numFmt w:val="decimal"/>
      <w:lvlText w:val="*"/>
      <w:lvlJc w:val="left"/>
    </w:lvl>
  </w:abstractNum>
  <w:abstractNum w:abstractNumId="1">
    <w:nsid w:val="136C59C6"/>
    <w:multiLevelType w:val="singleLevel"/>
    <w:tmpl w:val="78BE9AAC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cs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876"/>
    <w:rsid w:val="00103582"/>
    <w:rsid w:val="0061209C"/>
    <w:rsid w:val="00EE35DE"/>
    <w:rsid w:val="00F1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C8907BC0-1FD6-4BF7-ACE5-5F85988E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9488</Words>
  <Characters>5409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МИФИ</vt:lpstr>
    </vt:vector>
  </TitlesOfParts>
  <Company>Elcom Ltd</Company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МИФИ</dc:title>
  <dc:subject/>
  <dc:creator>Alexandre Katalov</dc:creator>
  <cp:keywords/>
  <dc:description/>
  <cp:lastModifiedBy>admin</cp:lastModifiedBy>
  <cp:revision>2</cp:revision>
  <cp:lastPrinted>1996-11-29T17:34:00Z</cp:lastPrinted>
  <dcterms:created xsi:type="dcterms:W3CDTF">2014-01-27T14:06:00Z</dcterms:created>
  <dcterms:modified xsi:type="dcterms:W3CDTF">2014-01-27T14:06:00Z</dcterms:modified>
</cp:coreProperties>
</file>