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578F1" w:rsidRPr="00995B1D" w:rsidRDefault="001578F1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C2161" w:rsidRPr="00995B1D" w:rsidRDefault="00925F52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Реферат:</w:t>
      </w:r>
      <w:r w:rsidR="001578F1"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Геополитические</w:t>
      </w:r>
      <w:r w:rsidR="001578F1"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региональные</w:t>
      </w:r>
      <w:r w:rsidR="001578F1"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интересы</w:t>
      </w:r>
      <w:r w:rsidR="001578F1"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Ирана</w:t>
      </w:r>
    </w:p>
    <w:p w:rsidR="00925F52" w:rsidRPr="00995B1D" w:rsidRDefault="00712D86" w:rsidP="00712D86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FFFFFF"/>
          <w:sz w:val="28"/>
        </w:rPr>
        <w:t>иран геополитический международный</w:t>
      </w:r>
    </w:p>
    <w:p w:rsidR="005C2161" w:rsidRPr="00995B1D" w:rsidRDefault="00CE32D9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традиционно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входит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геополитических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держав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обуславливается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геостратегическим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расположением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Каспийскому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сложившимися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исторически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политико-экономическими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связями,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прохождением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транспортных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маршрутов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добавился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коридор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«Север-Юг»),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наличием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долгосрочных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масштабных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инвестиций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политико-экономическое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духовное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Закавказья,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Азии,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тщательного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C2161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проектов.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Заслуживает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взгляд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совпадение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схожесть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«треугольника»,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позволяет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предполагать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согласованной,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схожей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ними.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взаимоотношений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преломлении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объективно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расхождений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гораздо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нежели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совпадения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диаметрально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противоположных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Ирана.Подход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конечном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счете,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преследует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секрета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смену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нынешнего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политико-теологического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приходу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прозападно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настроенных,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лояльных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руководителей.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отвечает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укрепление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Республикой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комплексу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двусторонних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Москва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концепции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многополярного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неприемлемость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глобализации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каких-либо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односторонних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авторитетных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статье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Лаврова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отмечалось,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сегодня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здравый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смысл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трезвая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оценка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тенденций,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определяющих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благодаря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впервые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десятка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реальная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конкурентная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мироустройства,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адекватного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этапу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Становление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глобальных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роста,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равномерное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распределение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ресурсов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природными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богатствами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закладывают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многополярного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признают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политологи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воцаряется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«полиархия»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многочисленных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разнообразных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игроков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вызывает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сомнения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тезис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военно-политическое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проникновение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центральноазиатский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закавказский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вразрез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российскими,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геополитическими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вступлению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объективно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напряженности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предлогом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антитеррористической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кампании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налаживание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военно-технического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Азии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Закавказья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существенным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напряженности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постсоветском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рассматриваемом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чувствительная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жизненно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обострения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базы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плацдармов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пунктов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обеспечения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ИРИ.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Присутствие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военно-мор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группировки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источником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напряженности,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повышающим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непредсказуемой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«коллизии».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каждых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приходят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условных,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«радарных»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атаках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нынешней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напряженной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вполне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перерасти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локальный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конфликт.</w:t>
      </w:r>
    </w:p>
    <w:p w:rsidR="005C2161" w:rsidRPr="00995B1D" w:rsidRDefault="005C2161" w:rsidP="00CE32D9">
      <w:pPr>
        <w:tabs>
          <w:tab w:val="left" w:pos="1080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Немаловажный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расхождения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выгодных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памятны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монопольные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бизнеса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1950–1970-х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диктовать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добычи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около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барр.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1975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«масштабных»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авиатехники.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интервью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обозревателю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бывший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высокопоставленный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разведсообщества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1992–1995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занимал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начальника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Евразии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разведке)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Дж.Кольт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нынешняя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отсутствия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американо-иранских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ненормальной.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высказал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поздно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наладится.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закончится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монополия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прогнозам,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придется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бороться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Наилучшие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шансы,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Дж.Кольта,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участвуют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каспийской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модернизацию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мощностей.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американец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высказал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обеспокоенность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продажами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словам,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Б.Клинтона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сентенциях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мотивами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отчетливо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просматривается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вытеснить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емкого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конкурента.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неоднократно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позитивную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взвешенный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сбалансированный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Таджикистане,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недружественного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соперника,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стремящегося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нельзя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принимать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разносторонние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Республикой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таможенной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службы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экспорта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составил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1,910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импорт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102,2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цифры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тенденцию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увеличению.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одобренной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«Долгосрочной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научно-техниче-ского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Республикой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2012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конкретный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перечень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совместного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отраслях,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электроэнергетика,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цветная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металлургия,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нефтехимия,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авиационная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банковская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транспорт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запуск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спутников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дистанционное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зондирование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Земли4.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настоящее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стадии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проработки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находится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обновленный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вариант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перечнем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свыше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Приведенные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цифры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полагать,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шансы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выйти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партнеров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Италия,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«точек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сближения»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сходства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стремятся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самостоятельную,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независимую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всячески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иранцами)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внешнеполитическую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внешнеэкономическую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линию.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европейцев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дифференциации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конкретных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Евросоюза)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основываются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приоритетах: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исторически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сложившихся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Республикой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делах;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продвижения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взаимовыгодных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отношениях;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зависимости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энергоносителей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существенную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внешнеполитической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импорта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42,5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принадлежат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европейцам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(13%),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(8,9%),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Италии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(8%).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структуре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экспорта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преобладает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сырье,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потребительские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товары,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продовольствие,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технические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услуги,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индустрии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концернов.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офшорное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газовое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Доруд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стоимостью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(французская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Total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итальянская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Eni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Соруш-Науруз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(британская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Shell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Анаран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(норвежская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NorskHydro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Чешм-е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Хош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(продолжающиеся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Cepsa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австрийской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OMV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игроков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освоении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гигантского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«Южный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Парс»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«Южный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Парс»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вынашивает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экспансии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рынок.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Здесь,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сомнения,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составить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конкуренцию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отвечало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нашим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вразрез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газопровода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“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Nabucco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”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стоимостью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Каспия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Австрии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принимают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болгарская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Bulgargas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румынская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Transgas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турецкая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Botas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венгерская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MOL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австрийская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OMV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Сформирована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обширный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рынок,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привлекательность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стремящихся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сохранить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упрочить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Евросоюз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вынужден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учитывать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критерии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основополагающих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свобод,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соблюдения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религиозных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меньшинств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однако,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показывает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доминируют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периодически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вбрасываемые,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материалы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«причастности»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проявлениях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ливанской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«Хизбалла»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палестинского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ХАМАСа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процессу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убежища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бежавшим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«Аль-Каиды»,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экстремистских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шиитскихгруппировок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По-прежнему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подогревается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причастности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высокопоставленных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чиновников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теракту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еврейском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Аргентине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1994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намерении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Интерпола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объявить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розыск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шестерых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бывшего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(безопасности)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А.Фаллахияна.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Примечательно,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аргентинская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прокуратура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сняла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причастности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(санкционировании)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теракту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должностных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времени,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бывшего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А.А.Хашеми-Рафсан-джани,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экс-министра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А.А.Вел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аяти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глобальной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документов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наносят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ущерб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имиджу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затрудняют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взаимоотношения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европейцами.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Видимо,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правомерным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тезис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консолидирующим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различающихся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проблематика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чувствительная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проблематика,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затрагивающая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рычага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выбрана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выборе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учтены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следующие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обстоятельства: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опыт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ослабления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эмбарго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двойного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(военного)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назначения;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отсутствие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прогресса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(закрытых)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форумов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иранцами;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«мелких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шажков»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Б.Клинтона,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давшая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желаемых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результатов;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концепции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«Большого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Востока»,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вовлеченности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незавершенной.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неудачи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концепции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удобно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оправдывать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«иранским»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фактором;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опыт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группировки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военно-морских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точечных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(«хирургических»)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Вынесение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«ядерной»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проблематики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противоречит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«последовательности»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выражавших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80–90-х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обеспокоенность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Хотелось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хорошо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освещена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С.М.Задонского.,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В.И.Сажина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известно,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берет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отсчет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1960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физическом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факультете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университета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научной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лаборатории,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занимавшейся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фундаментальными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физики,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расщепления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ядра.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Спустя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десятилетие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распоряжению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шаха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приступил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имплементации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70-х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оказывали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заключила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соглашение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очистки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руд,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образовала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совместную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французско-иранскую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«Евродиф».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(концерн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«Сименс»)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запланировано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г.Бушире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станций.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показательно,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шаха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Мохаммеда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Пехлеви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предложил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собственной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1977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секретности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завершились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реакторов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АЭС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победы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1979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большинство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свернуто,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АЭС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Бушире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заморожено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монтажные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реактора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«Сименс»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60%).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ирано-иракской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1980–88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сооружения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АЭС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Бушире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подверглись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воздушным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атакам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ВВС,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ракет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поразили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купол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реактора.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десятилетие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отброшены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назад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возобновились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80-гг.,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(ОАЭИ).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выработки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пятилетних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признано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перспективных,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получило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приоритетное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придаваемого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фундаментальным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исследованиям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назначение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1997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ОАЭИ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ранге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вице-президента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«тяжеловеса»,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бывший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Г.Агазаде.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предпринятые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возобновить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прежними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партнерами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завершении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АЭС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Бушире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причин,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окончились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безрезультатно.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пришлось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пересмотреть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список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партнеров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пользу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Пакистана,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КНДР.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одобренной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Долгосрочной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научно-технического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2012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десяти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блоков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реакторов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8,5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«Бушер-1»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«Бушер-2»,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площадке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блоков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1000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МВт,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сооружении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блоков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мощностью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площадке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Ахвазе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площадок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оборудованием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указанная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превысить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масштабных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несомненно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Выбор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«ядерного»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инструмента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видимости,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продиктован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следующими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соображениями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Дж.Буша: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обозримом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будущем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(несколько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лет)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вплотную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подойти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достаточному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пройти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«точку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невозвращения»;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«непредсказуемость»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нынешнего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выпадами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адрес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союзника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Израиля;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отчетливо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прослеживаемая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тенденция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возложить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провалы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ближневосточном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обеспокоенность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подорвать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озабоченность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определенной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объединить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ключевых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игроков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Европы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Однако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постулатов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несостоятелен.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прошедшие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зарекомендовал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рациональный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прагматичный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участник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просчитывать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планируемых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шагов.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определенной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справедливым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утверждение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вполне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Египет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Саудовская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Аравия,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приходится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Израиля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находятся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порядка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170–200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боеголовок.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государств-подписан-тов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Договора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(ДНЯО),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Израиль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по-прежнему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присоединиться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нему.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доставки,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предмет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озабоченности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географически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приближенной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Секретарь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И.С.Иванов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косвенно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относится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сближения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упомянутых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ключевых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игроков,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расчет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оказался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верным.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максимуму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пропагандистских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жесткую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отстаивавшего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подавая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сохраняющиеся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пробелы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отсутствия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незаявленных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материалов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Итогом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длительных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согласований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изменений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внесенный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единогласно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документе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озабоченность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многочисленных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докладов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Генерального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директора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управляющих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аспектов,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переработкой,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отсутствием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укрепления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доверия.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резолютивной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документа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подтверждается,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промедления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предписаны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управляющих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документом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GOV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/2006/14,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содержится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перечень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материалов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товаров,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косвенной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продажи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передачи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воздушных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судов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флагом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независимо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происхождения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предметов,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материалов,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оборудования,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товаров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технологий,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переработкой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тяжелой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водой,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приложении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составлен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перечень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принимающих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баллистических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ракет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подпадающих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внесенные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инициативе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пункты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переработки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(проверенное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гарантировало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приостановлено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санкционных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Принципиальное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Постоянного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В.И.Чур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кина,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акцентировавшего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моментов.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ограничиваются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подпадают.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убежденность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эффективного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разрешения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найдены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политико-дипломатической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плоскости.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принимаются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статьей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Устава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никаких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запуска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негативные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санкционной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положений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предусмотренных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ужесточения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вплоть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эмбарго.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наращиванию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вкупе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бескомпромиссной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предпосылки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«объединяющей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платформы»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Республике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иногда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существенные.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Примечательно,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авторитетном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становится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легче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скоординированные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служить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военнослужащими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корабля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«Корнуэлл»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задержанными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нарушение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вод»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пехотинцы,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королевских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ВМС,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досмотр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судов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водах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устье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р.Шатт-эль-Араб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1723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судна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подозрению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контрабанде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протест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Лондон,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ссылаясь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показания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координат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приборов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GPRS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утверждал,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задержания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находились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водах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потребовал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незамедлительно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отпустить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задержанных.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посольствами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Лондоне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состоялись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массовые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демонстрации.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подключились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освещению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инцидента.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телеканал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«Аль-Алам»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продемонстрировал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кадры,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показывают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проникновения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«признаются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нарушении».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Премьер-министр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Т.Блэр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приведут,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освобождению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«принять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формы»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объявлено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освобождены,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Лондон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замораживает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двусторонние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премьер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сказал,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«иранцы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понять,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столкнутся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изоляцией»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консолидации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отпустить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захваченных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адресовала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канцлер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А.Меркель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Главы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ведомств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Евросоюза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неформальной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встрече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Бремене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Лондон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Ф.В.Штайнмайер,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председательствующей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Евросоюзе,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едиными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29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инициативе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единогласно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задержания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выражалась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«глубокая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озабоченность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членами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захватом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Корпусом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стражей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удержанием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компромиссных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формулировок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противовес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жесткому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настаивала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делегация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способствовали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делегации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Китая,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ЮАР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Индонезии.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категорически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сделки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обмену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захваченных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января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пятерых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генерального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консульства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городе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Эрбиль.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брифинге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споуксмэна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Госдепартамента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Ш.Мак-кормака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«международное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собирается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пытающегося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отвлечь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вынужден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попытались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дистанцироваться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нарушение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основополагающих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норм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конвенции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неприкосновенности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представительства,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привлечь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«нежеланию»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Эрбиле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четкую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оценку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комментарии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официального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подчеркивалось,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громких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террористической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неоспоримые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доказательства: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«…Аб-солютно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неприемлемо,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берут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штурмом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консульское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учреждение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грубейшее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нарушение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конвенции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консульских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сношениях»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Предпринятые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военнослужащими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неправомерные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подчеркивалось,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означают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открытое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злоупотребление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мандатом,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странам-участницам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многонациональных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неотъемлемой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обеспечению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охраны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дипмиссий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незамедлительное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консолидации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платформы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обострения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входящей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зла».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обострения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складывается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элементов: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выдвижение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(претензий)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чувствительных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(ядерного,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ракетного),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ОМУ,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нежелания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допустить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инспекции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проверки;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провозглашение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«оси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зла»;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консолидация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наращивание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санкционного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ослабления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страны-объекта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апробировано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недовольство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усугубляющимся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положением;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концентрация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«наблюдения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положений»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(локальной)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задействованы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приходится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применять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(дипломатические)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ресурсы,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гибкость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нарастающей.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ресурсов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союзнических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противостоять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давлению.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осложняющим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послужили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совпавшие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захватом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масштабные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авианосных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(атомные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авианосцы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JohnC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Stennis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DwightEisenhower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количества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кораблей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сопровождения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должен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авианосец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Nimitz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концентрация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повышает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риск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возникновения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коллизии,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конфликта.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поступали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нарушении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воздушного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пространства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юго-западе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районе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провинцией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Хузестан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самолетами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направлявшимися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отрабатывал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учебные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задачи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блокаде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катеров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подводных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лодок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береговых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ракетных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батарей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военно-воздушных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провинциях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сухопутные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подразделений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Корпуса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стражей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задействовано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Единственным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«плюсом»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натяжкой)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нефтедобывающих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рынок,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зависящий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конъюнктуры,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моментально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реагирует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обострение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положения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повышения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аккумулировать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денежный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доход.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баррель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61,69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подскочила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спустя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65,34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спустя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англо-иранского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кризиса,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М.Ахмадинежад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объявил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отпускают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родину.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подтвердила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репутацию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жесткого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переговорщика,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довести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кризис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«высокой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кипения»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нестандартные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демонстрировала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умение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довести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«красной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черты»,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пойти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поиск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развязок.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максимум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дивидендов,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просчета,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себе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немалый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риск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«точку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невозврата».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стремятся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диверсифицированную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направленную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какого-либо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единого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фронта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противостоящего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широко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используются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стимулы.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преддверии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неожиданный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намерении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изложением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визит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сорван,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последнюю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минуту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из-за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сообщалось,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визы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членов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экипажа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самолета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М.Ахмадинежада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въездная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Госдепартаментом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«Адресная»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отчетливо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проявилась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обсуждения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второй,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обсуждения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согласованного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«пятеркой»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постоянных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членов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непостоянных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членов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ЮАР,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Индонезии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Катара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появился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замечаний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принципиального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Делегация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ЮАР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предложила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90-дневный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мораторий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эмбарго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запрет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поездки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КСИР,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замораживания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счетов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Sepah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«дочки»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SepahInternational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американцев,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выхолащивало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бескомпромиссная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итоге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санкционными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мерами: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проявлять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бдительность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воздерживаться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въезда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транзита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причастных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оказывающих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чувствительным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области;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запрет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воздерживаться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передачи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номенклатуры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согласно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Регистра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обычных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займов,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помощи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нужды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гуманитарных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вошел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список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принимающих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ракетной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сбалансированной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благодаря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текст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ключевые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положения,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«приостановка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обмен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приостановку»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заморозит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введенных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приостановлено,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вводятся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статьей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Устава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замораживание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препятствует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выплат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юридическими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указанными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приложениях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контрактам,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вступившим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списки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основаниях,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предусмотренных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пунктами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Договором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подтверждено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признание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энергетику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Анализируя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Республику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автора,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негативный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эффект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замораживание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счетов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юридических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воздержаться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запрет)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заимствований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помощи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рынке.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крупномасштабных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модернизации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отрасли,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столкнуться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нехваткой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вынужден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стабилизационного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фонда.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Примечательно,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назад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неохотно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капиталоемких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кредитная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ставка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выше,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из-за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опасений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Япония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вынуждена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освоения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«Азадеган»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доказанными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запасами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свыше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баррелей.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испытывать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опасения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легальные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транзакции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подставные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конечным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получателем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причастных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ракетной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эмиссары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задолго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директивой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Законом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совершать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турне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итогов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отток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капитала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ОАЭ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замораживания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склонения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институтов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изучали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«болевых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точек»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Комитетом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Сената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старший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Госсекретаря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Н.Бернс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импортирует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около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40%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потребляемого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бензина,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рычагов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казначейства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“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BankofEngland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”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(центральный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замораживании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февраля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физических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аналогичных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прорабатывают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«прогнозируемого»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ужесточения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продумать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минимизировать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склонить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дружественные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формальному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соблюдению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санкционного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задействования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рычагов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эффективных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Командующий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Корпусом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стражей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генерал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Р.Сафави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введении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поставлены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маршруты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транспортировки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миллионов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баррелей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сырой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день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Ормузский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пролив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Заместитель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иностранных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М.Мохаммади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подскочить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долл./баррель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тендеры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КаземВазириХамане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защитить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Вскоре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сообщило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выставлении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тендер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блоков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планировалось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голосовании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изменено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сигнализирует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выступающие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упустить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выгоды.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NIOC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Г.Нозари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обнаружении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юге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Паранж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запасами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около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1,6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барр.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легкой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Абтимур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запасами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барр.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четко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понять,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предпочтение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контрактах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отдаваться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занимают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благожелательную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визита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Белоруссию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М.Ахмадинежада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«стратегического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партнерства»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объявлено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укреплении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отрасли,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совместную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(Джуфейр),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нефтеперерабатывающих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мощностей,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строительстве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подземных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газохранилищ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Примечательно,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турне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Латинскую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январе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Венесуэлы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достигнута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договоренность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называемого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«Фонда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размере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млрд.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Далее,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изучала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перевода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расчетов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поставляемую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преследовало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определенное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ослабление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из-под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контроля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резервной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наблюдающей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операциями,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расчеты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долларах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уделяется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возможному,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обострения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повышению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потребителей-жителей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нейтрализации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имиджа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реализующего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Один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секретаря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главного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переговорщика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А.Лариджани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накануне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раунда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верховным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Х.Соланой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Мадриде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гарантии,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подтверждающие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оборонительной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доктрине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твердые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гарантии,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предпримет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приобретению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развернуто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геостратегические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нынешнем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этапе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сформулированный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изложены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выступлениях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старшего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заместителя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Госсекретаря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Н.Бернса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выступлениях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комитетами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Сената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Конгресса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конце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амбициозные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геополитические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именно: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стабилизацию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вИраке;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палестино-израильского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примирения;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продвижение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свободы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Ливан,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распространения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экстремистской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идеологии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ОМУ,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озвучил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Госдепартамента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невозможно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преодоления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вызовов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угроз,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исходящих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радикального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М.Ахмадинежада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угрожает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жизненно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инструментария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заблуждение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хаоса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нестабильности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непрочных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Ливана,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репрессивным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обращением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длительным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ближневосточному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процессу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комплексный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разнообразный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угроз,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исходящих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адекватного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диверсифицированного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усовершенствованного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выстроена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всеобъемлющая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опирающаяся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возглавляемые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прочную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коалицию,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стремящуюся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целей.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этапе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фокусируется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элементах: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демонстрация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провокационная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дестабилизирующая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повлечет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болезненные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трудности,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изоляцию,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ущерб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долговременном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престижа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интересов;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убеждение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другая,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конструктивная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подходящей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него.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изоляцией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предлагают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сложившейся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ситуации.В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формата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P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5+1»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(пятерка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постоянных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членов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+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Германия)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подтверждают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выдвинутое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Госсекретарем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К.Райс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июне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вступить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месте»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полностью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поддающейся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проверке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американцев,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наилучшим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разногласий.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К.Райс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подтвердила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остановит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изменить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действующую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протяжении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встречусь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коллегой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месте»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прекратить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аспекты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демонстрации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сложные,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потенциально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конфликтогенные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себе,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сигнал.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пытается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выйти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посредников,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толковать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отступление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принципиальным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вопросам.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услуги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налаживанию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предлагали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арабские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Саудовская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Аравия,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европейцы.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помогают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быстрее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взаимопонимания,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избежать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делиться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«дивидендами»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посредниками.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зависимости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предпочитает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каналы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закрытые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прямые,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посредников.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пользу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тезиса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налаживанию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свидетельствуют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состоявшиеся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Багдаде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ирано-американские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уровне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аккредитованных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Р.Крокера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Х.Каземи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охарактеризовать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возобновлению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официальных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значение,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существенно.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Несмотря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выдвинутый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преддверии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должны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проходить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присутствии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3)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затрагивать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канал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корректном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(без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публичных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преднамеренных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«утечек»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СМИ)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потенциалом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расширения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обсуждаемой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повестки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дня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налаживания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двусторонних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связей.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Примечательно,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ранее,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накануне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несостоявшейся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встречи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главы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внешнеполитического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ведомства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М.Мотта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Госсекретарем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К.Райс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конференции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широко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анонсировалась,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А.Хосейни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улучшении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«правильных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условиях».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детализировано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служат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«добрые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намерения»,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воля.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словам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восстановления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пересмотра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ирано-американских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полагает,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выбранная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взаимоотношениях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наибольшей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отвечает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постулат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базируется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уверенности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«непроницаемым»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плане58.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американцев,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дивиденды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прояснить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конфронтацией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издержки.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вектором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наращивание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направлениям.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двустороннем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формате.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Итог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коалиции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Параллельно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«ядерным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фактором»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отказался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экстремистов,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расширяя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народом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Последнее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утверждение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называемые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(“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people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to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people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”)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заслуживает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остановиться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поподробнее.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отсутствия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вызванного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имевшей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конфронтацией,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неприятием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правящих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зачастую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предпочитают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декларировать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разногласия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структур.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нацелены,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лидеров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населению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всячески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дистанцировать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правящего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выразил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соболезнования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трагедией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университете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Вирджинии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нападение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невинных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людей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«преступлением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религиозных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законов…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людьми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мероприятиях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науки,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спортсменов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т.д.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январе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команду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спортсменов-борцов,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обменов,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посещают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(студенты,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преподаватели).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поощряет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поездки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религиозных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деятелей.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Конгрессом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Госдепартаментом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выделение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подпадают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введенных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санкций62.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формальном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отсутствии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дипотношений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плаву»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служит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каналов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(через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делегационных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обменов)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считают,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широкому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открытому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потоку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населения.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маскируются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основополагающих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свобод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религиозные,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построению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обеспечению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верховенства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закона,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глубокое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ценностей,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идеологии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культуры.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Нельзя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публичной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рассчитанный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применяют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М.Ахмадинежад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предложил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телевизионный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диспут,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транслировался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всяких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купонов.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телемоста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предлагали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обсудить,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каждая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кризисных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отвергнуто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ссылкой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разговоры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теледебатов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отвлечь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обоснованной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обеспокоенности,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проявляет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поведения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допуская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публичной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“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people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to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people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”,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дозированно,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жестко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пресекая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предлогами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(чаще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«шпионаж»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«вмешательство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внутренние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Ирана»)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когда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необходимым.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задержаны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четыре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происхождения,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А.Ла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риджани,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«использовались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выделенных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Конгрессом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денег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вмешательство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внутренние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подрывной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антиправительственной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свержения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существующего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осудил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задержание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потребовал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безусловного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освобождения,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посвятили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налаживанию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мостов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«цели,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которую,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утверждают,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власти»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вектора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«давления»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разностороннен.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приложения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выбран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энергетический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сектор.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газа,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предупреждая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рисках,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инвестированием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индустрию,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негативном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контрактам.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степени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уменьшить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вероятность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сделок,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контрактации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вероятность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заключенных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соглашений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Здесь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нащупать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«болевую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точку»: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промышленность,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изношенность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оценкам,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составляет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70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80%,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нуждается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масштабных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инвестициях,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истощенных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технологиях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вторичных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методов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добычи.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результаты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majors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воздерживаться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заключения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японская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INPEX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выступавшая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оператором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нефтяного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месторождения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Азадеган,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благовидным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предлогом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«незавершенности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процесса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очистки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разрабатываемой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оставшихся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ирано-иракской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войны»,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приступила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контракту.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военно-политической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нацелены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сдерживание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(блокирование)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амбиций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первую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очередь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подразумевается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сдерживание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общину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аргумента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выдвигается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тезис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используемого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британского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контингентов.Дж.Буш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январе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подрывать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независимо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принадлежности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поставляют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группировкам.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«Успех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обеспечения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защиты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целостности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стабилизации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вызова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экстремизма,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начинается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Сирии»,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позволяют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террористам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повстанцам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проникновения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материальную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нападений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войска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взрывные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устройства,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выдвинуты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спецназначения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«Кодс»,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вместе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высокопоставленные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(председатель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Комитета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начальников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штабов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П.Пэйс)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избегали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говорить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«Кодс»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санкционированы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руководством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считают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уничтожению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«террористических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сетей»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мандата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многонациональным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Впоследствии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категоричной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утверждать,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гораздо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деятелен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предположить.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ссылкой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независимые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источники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говорилось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агентура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особого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«Управления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9000»,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якобы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являющегося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связующим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звеном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Корпусом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стражей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повстанцами,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борьбу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выдвигались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предположения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насилия,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подпитка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нападений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стимулирующего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приветствуется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конференции,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посвященной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Багдаде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выражается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надежда,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начнет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играть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конструктивную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стабильного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совместно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Саудовской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Аравией,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Египтом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Иорданией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премьер-министра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Ф.Синьоры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Ливане.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задач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реализация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эмбарго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1701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Ливан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Сирии.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Осенью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Госсекретарь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К.Райс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государствами-членами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Египтом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Иорданией,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главной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выработать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понимание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«угрозы,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исходящей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продолжающиеся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выходящего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выше,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реанимация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причастности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взрыву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аргентино-израильского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Буэнос-Айресе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1994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подпитка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Хизбаллы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ХАМАСа.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моментов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характеристика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«центрального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банкира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глобального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доступа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«подозрительных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лиц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организаций»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крупнейших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получателей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кредитов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гарантий.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конец2005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кредитов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государств-участников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(ОЭСР)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составляла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около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22,3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миллиарда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ожидает,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предпринятые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вкупе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вызовут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эффект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«снежного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банковской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осознанию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рисков,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выделением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кредитов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гарантий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пересмотру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ранее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выделенных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Отмечалось,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банки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отказались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займов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Япония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сократили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размеры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экспортных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кредитов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коалиции,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призывающей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прекратить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относят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Китай,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Бразилию,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Египет,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Индонезию,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ЮАР,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(1747)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Катар.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Развернутое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воплощение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народом.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Конгресс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выделил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66,1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направляются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финансирование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гражданского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реформ,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Госдепартамента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расширения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электронного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радиовещания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языке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пропаганды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ценностей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Отделу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разработки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культурных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народами.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Оставшиеся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36,1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предназначены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непосредственно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управляющих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вещанию,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телевещания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языке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фарси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(«Голос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Америки»)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радиостанции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«Фарда»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сценарию.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Н.Бернсом,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авианосные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размещены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«вновь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заверить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друзей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сферой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жизненно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предприняли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деструктивным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действиям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Возникает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насколько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вероятно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событий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сценарию?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какой-либо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предшествует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«легитимизация»,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одобрение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сообществом,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авторитетных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(ООН),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развернутая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подготовка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реагирования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исходящие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опасные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вызовы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распространение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массового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уничтожения,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геноцид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союзными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дружественными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расположенные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«воздействия»,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массированной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группировки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многоцелевые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задачи,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фона.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исключается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односторонних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аргументируемых,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чрезвычайным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исходящих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угроз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незамедлительного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реагирования,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2003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разделить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тягот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затрат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вдали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предпринимаются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коалиции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многонациональных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предшествующих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подготовке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присутствовали.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мощная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военно-морская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группировка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авианосных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21,5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воинский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контингент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присутствует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боеспособный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контингент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массовой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период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2003–2006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сухопутных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войсках,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военно-морских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военно-воздушных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силах,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корпусе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пехоты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велась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интенсивная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отработка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«Свобода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смоделировано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несколько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вариантов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названием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«Тактика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ТВД»,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высказывались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предположения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вариантах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примеру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воздушных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базам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ключевой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инфраструктуры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Появились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успешных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испытаниях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сверхтяжелой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управляемой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бомбы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massiveordnancepenetrator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предназначенной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поражения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железобетонных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бункеров,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глубоких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подземных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шахт,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размещаются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производству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склады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хранения.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боеприпасы,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бомбардировщики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В-52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В-2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поражать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невозможно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уничтожить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средствами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Изучались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варианты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противоракетной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«Пэтриот».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публикаций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вынужден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сделать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Пентагон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вторжения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заметив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«крайнюю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меру»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аналогии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событий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конфликта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инцидента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многочисленными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патрульными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катерами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указывалось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выше,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коалиция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прекращение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работ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одобрены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выполнения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положений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доклады.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Невыполнение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требований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документов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повлечь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ужесточение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Развернута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подготовка.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анализом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рассматривалась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реакция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населения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целевые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опросы.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опросов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исследовательской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TNS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Sofres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большинство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жителей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поддерживало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единственной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помешать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получить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18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Евросоюза,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Франции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Великобритании,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большинство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респондентов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высказалось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девяти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Германию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Испанию,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большинство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составили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противники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конечно,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субъективный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который,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правило,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носят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подобные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опросы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мнения.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Дж.Болтон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Евросоюзу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признать,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остановить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провалились,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овладел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технологией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обогащения.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пора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применить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жесткие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дипломатические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поможет,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попытаться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свергнуть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теократический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наконец,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объектам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адрес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оказании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поставками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выступлении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штате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Огайо,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вновь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отметил,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себя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«серьезную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проблему»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стремящимся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оружием.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амбиции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спровоцировать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гонку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Востоке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командования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генерал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У.Калдвелл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заявил,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изготовленные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поступают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суннитским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повстанцам,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проходят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подготовку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словам,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суннитских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спецслужб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Примечательно,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некоторые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обвинения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расходились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логикой.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перехватили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апреле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партию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якобы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должно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поступить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талибов,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хотя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прозвучала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оговорка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неизвестно,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причастна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этому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хорошо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известно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борьбе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Движением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талибов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сыграл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отстранению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М.Ахмадинежада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накануне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встречи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«шестерки»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феврале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«задней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передачи»,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К.Райс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отреагировала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нужна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передача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хода.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требуется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кнопка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остановки»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появление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массовых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потоках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беженцев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соседние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Азербайджан,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вероятности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бомбардировок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экологической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катастрофы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только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Каспии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приведении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бомбоубежищ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Баку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заявлениями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властей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начала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планировании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какого-либо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варианта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придется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учитывать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наличие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боеспособных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достаточно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хорошо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оснащенных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насчитывающих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свыше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миллиона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численности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мест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Востока).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состоят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двух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компонентов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армии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Корпуса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стражей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исламской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собственные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сухопутные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войска,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ВМС.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условиях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чрезвычайной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обстановки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распоряжение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поступают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охраны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правопорядка,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подчиняющиеся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МВД.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сжатые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сроки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мобилизацию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ополчения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(«басидж»),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численность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оценкам,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достигает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менее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образом,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локального,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«хирургического»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столкнуться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жестким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Причем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могут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носить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характер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симметричного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(ответные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силам,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наносящим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удары),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асимметричный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(диверсии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террористов-смертников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различных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мира).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Учитывая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сказать,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принятие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проведении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плана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«крайней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мерой»,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невозможно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просчитать.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Еще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группа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бывших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высокопоставленных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сотрудников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Госдепартамента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письмо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призывом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воздержаться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ударов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шаги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катастрофические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вооруженных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вспышке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ненависти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повсеместно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мусульман».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оптимального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указывалось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вступление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арабских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Персидского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залива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(генеральный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секретарь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ССАГПЗ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А.Р.аль-Атыйя)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выступили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отмечено,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аравийские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выходящей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пределы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использования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гонки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Израиль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мира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Несомненно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«несгибаемого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борца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гегемонизмом»,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время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имиджу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арене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нанесен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ущерб.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Нельзя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сбрасывать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счетов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общественное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Вряд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найдет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открытия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«иранского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фронта»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оправдания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потерь.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рамках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совместных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слушаний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Конгрессе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второй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величине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ветеранской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«Ветераны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зарубежных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войн»,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насчитывающей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свыше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2,5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млн.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человек,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ветеранов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Г.Корпиусу,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адресован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прямой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издержек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боевые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Ответ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ветеранов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категоричен: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следует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немедленно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прекратить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приступить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поэтапному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войск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проблемы»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сопряжен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столь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политическими,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издержками,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говоря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имеющихся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«фронтах»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может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применен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ограниченном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масштабе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лишь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крайний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способ.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потребует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коалиции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наряду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предоставить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воинские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контингенты,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видится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весьма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проблематичным.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демонстрируют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своей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развития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событий.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Кроме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того,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неизбежно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приведет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всплеску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возмущения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мусульманском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особенно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отождествляющих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собратьями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увеличению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террористических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направленных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американцев.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утрате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имиджа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«ведущей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державы»,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выступающей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демократизацию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Среднего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говорить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приходится.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подтверждений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тезиса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бесперспективности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служат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появившиеся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сообщения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издании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президентом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Дж.Бушем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соответствующей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секретной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директивы,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делался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тайных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операциях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разведсообщества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дестабилизации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правящего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посредством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«пропаганды,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дезинформации,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манипулирования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валютой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финансовыми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перациями»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вероятным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сценарий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дальнейшим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наращиванием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контексте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ужесточения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Одновременно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искать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контактов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открытым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форумах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многосторонних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конференциях,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неофициальным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каналам.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Особый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представляют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обмен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мнениями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относительно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восстановления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стабильности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нормализации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Ираке,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обладает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большим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влиянием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шиитскую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общину.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американцев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Афганистане.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солидаризируясь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предотвращении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территории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топливного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цикла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(ЯТЦ),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стремиться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проводить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сбалансированную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линию,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разносторонний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Тегераном.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подвижек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иранцев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европейцы,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очевидно,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приложат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активные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усилия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приостановлению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отмене.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Наиболее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взвешенной,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учитывающей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современные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реалии,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Прежде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четко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обозначается,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целью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вводимых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1737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1747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поддержанных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устранение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озабоченностей,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сохраняющихся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рестрикционные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случае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нацелены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«наказать»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направить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сигнал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Тегерану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Советом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Недвусмысленно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говорится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дверь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возврата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путь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переговоров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открытой.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Выбор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руководства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пользу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МАГАТЭ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взаимоуважительного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диалога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«шестеркой»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остающимся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позволил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оставить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существующие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прошлом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придти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которой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развивающему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атомную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энергетику,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точно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же,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любому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другому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государству-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участнику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ДНЯО.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Подчеркивается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готовность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содействовать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достижению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укрепления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глобального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режима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оружия,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упрочения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безопасности.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Благодаря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последовательной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четко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обозначены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перспективы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приостановки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отмены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вводимых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мер.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Один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важнейших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элементов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нашей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позиции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категорическое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неприятие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каких-либо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односторонних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подкреплено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нормами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указанные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включена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ссылка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вводятся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статьей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41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Устава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предусматривают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возможности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силовых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действий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последние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годы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выступила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рядом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серьезных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инициатив,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частности,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созданию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центров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переработке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обогащению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радиоактивных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материалов,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нацеленных,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числе,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снять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остроту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программы.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Разумеется,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подходах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нашли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отражение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национальные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интересы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областях.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продолжает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широкому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кругу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региональных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начиная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вопросов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терроризму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Каспии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Закавказье.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Осуществляется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введенных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резолюциями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ограничений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российско-иранское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торгово-экономическое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имеющее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значительный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потенциал.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касается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ВТС,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оно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велось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договорами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обязательствами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комментируя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«неудовлетворение»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поводу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поставок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зенитных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систем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(комплексов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малого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ТОР-1М),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вице-премьер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С.Б.Иванов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подчеркнул,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данное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нарушает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связанных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санкциями.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сторона,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развивая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военно-техническое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страной,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исходит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15084"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правил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учетом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этих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факторов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правомерным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был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бы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вывод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что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урегулировании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ситуации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вокруг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одному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ведущих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постоянных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членов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располагающему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тесными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разносторонними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связи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регионе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пользующемуся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авторитетом,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будет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принадлежать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все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возрастающая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роль.</w:t>
      </w:r>
    </w:p>
    <w:p w:rsidR="00925F52" w:rsidRPr="00995B1D" w:rsidRDefault="00925F52" w:rsidP="00CE32D9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br w:type="page"/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Список</w:t>
      </w:r>
      <w:r w:rsidR="001578F1"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литературы</w:t>
      </w:r>
    </w:p>
    <w:p w:rsidR="00925F52" w:rsidRPr="00995B1D" w:rsidRDefault="00925F52" w:rsidP="00CE32D9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Лавров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С.В.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Мюнхен: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мировая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политика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перепутье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//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Московские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новости,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23.03.2007.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Коммерсантъ,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9.03.2004,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11.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Правительство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№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556.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government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NEWSru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.16.03.2007.</w:t>
      </w:r>
    </w:p>
    <w:p w:rsidR="00CE32D9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Задонский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С.М.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Ядерная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российско-американские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//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Институт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Израиля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2002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г.;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Сажин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В.И.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как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возможный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объект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американского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воздействия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//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Институт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Израиля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Ближнего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Востока.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2004.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Кременюк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В.А.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Борьба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Вашингтона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против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революции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Иране.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М.: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Международные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отношения,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1984,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65.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Иранское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агентство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Fars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26.12.2006.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Ведомости,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27.12.2006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Reuters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23.04.2007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Белоруссия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договорились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сотрудничестве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нефтегазовой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отрасли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//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РосБизнесКонсалтинг.,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rbc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22.05.2007.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Коммерсант-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Daily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15.01.2007.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Интерфакс.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Лента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международной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информации,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31.05.2007.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Burns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R.Nicholas.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Testimony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Before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the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Senate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Committee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on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Banking,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Housing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and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Urban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Affairs.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Washington,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DC.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March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21,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2007.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US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Department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of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State.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США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Иран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завязывают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дипотношения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//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Коммерсантъ-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Daily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29.05.2007.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Assosiated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Press,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07.05.2007;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также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www.rbc.ru.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val="en-US"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http://www.vz.ru/politics,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30.08.2006.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Iranian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Official: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US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Detainees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sent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to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Interfere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in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Tehran.</w:t>
      </w:r>
      <w:r w:rsidR="001578F1"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Cnn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com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03.06.2007.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val="en-US" w:eastAsia="ru-RU"/>
        </w:rPr>
        <w:t>WashingtonPost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15.02.2007.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Выступление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Постоянного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Российской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Федерации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В.И.Чуркина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мотивам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голосования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проекту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резолюции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СБ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ООН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проблематике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ядерного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нераспространения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(Иран),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марта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2007.</w:t>
      </w:r>
    </w:p>
    <w:p w:rsidR="005C2161" w:rsidRPr="00995B1D" w:rsidRDefault="005C2161" w:rsidP="00CE32D9">
      <w:pPr>
        <w:pStyle w:val="aff4"/>
        <w:numPr>
          <w:ilvl w:val="0"/>
          <w:numId w:val="20"/>
        </w:numPr>
        <w:suppressAutoHyphens/>
        <w:spacing w:after="0" w:line="360" w:lineRule="auto"/>
        <w:ind w:left="0" w:firstLine="0"/>
        <w:jc w:val="both"/>
        <w:outlineLvl w:val="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Информационное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агентство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«Грани.ру»,</w:t>
      </w:r>
      <w:r w:rsidR="001578F1" w:rsidRPr="00995B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5B1D">
        <w:rPr>
          <w:rFonts w:ascii="Times New Roman" w:hAnsi="Times New Roman"/>
          <w:color w:val="000000"/>
          <w:sz w:val="28"/>
          <w:szCs w:val="28"/>
          <w:lang w:eastAsia="ru-RU"/>
        </w:rPr>
        <w:t>26.01.2007.</w:t>
      </w:r>
    </w:p>
    <w:p w:rsidR="00CE32D9" w:rsidRPr="00995B1D" w:rsidRDefault="00CE32D9" w:rsidP="00CE32D9">
      <w:pPr>
        <w:suppressAutoHyphens/>
        <w:spacing w:after="0" w:line="360" w:lineRule="auto"/>
        <w:jc w:val="both"/>
        <w:outlineLvl w:val="6"/>
        <w:rPr>
          <w:rFonts w:ascii="Times New Roman" w:hAnsi="Times New Roman"/>
          <w:color w:val="000000"/>
          <w:sz w:val="28"/>
          <w:szCs w:val="28"/>
        </w:rPr>
      </w:pPr>
    </w:p>
    <w:p w:rsidR="006D1D49" w:rsidRPr="00995B1D" w:rsidRDefault="006D1D49" w:rsidP="00CE32D9">
      <w:pPr>
        <w:suppressAutoHyphens/>
        <w:spacing w:after="0" w:line="360" w:lineRule="auto"/>
        <w:jc w:val="center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6D1D49" w:rsidRPr="00995B1D" w:rsidSect="00515084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DEB" w:rsidRDefault="00087DEB" w:rsidP="00925F52">
      <w:pPr>
        <w:spacing w:after="0" w:line="240" w:lineRule="auto"/>
      </w:pPr>
      <w:r>
        <w:separator/>
      </w:r>
    </w:p>
  </w:endnote>
  <w:endnote w:type="continuationSeparator" w:id="0">
    <w:p w:rsidR="00087DEB" w:rsidRDefault="00087DEB" w:rsidP="0092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DEB" w:rsidRDefault="00087DEB" w:rsidP="00925F52">
      <w:pPr>
        <w:spacing w:after="0" w:line="240" w:lineRule="auto"/>
      </w:pPr>
      <w:r>
        <w:separator/>
      </w:r>
    </w:p>
  </w:footnote>
  <w:footnote w:type="continuationSeparator" w:id="0">
    <w:p w:rsidR="00087DEB" w:rsidRDefault="00087DEB" w:rsidP="0092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8F1" w:rsidRPr="00CE32D9" w:rsidRDefault="001578F1" w:rsidP="00CE32D9">
    <w:pPr>
      <w:pStyle w:val="aa"/>
      <w:suppressAutoHyphens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120A"/>
    <w:multiLevelType w:val="singleLevel"/>
    <w:tmpl w:val="ED4E5B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1595F7A"/>
    <w:multiLevelType w:val="multilevel"/>
    <w:tmpl w:val="119CDA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2">
    <w:nsid w:val="018E489A"/>
    <w:multiLevelType w:val="hybridMultilevel"/>
    <w:tmpl w:val="13725C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03477CDD"/>
    <w:multiLevelType w:val="multilevel"/>
    <w:tmpl w:val="97BC6F3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AEA57DE"/>
    <w:multiLevelType w:val="hybridMultilevel"/>
    <w:tmpl w:val="61D8F776"/>
    <w:lvl w:ilvl="0" w:tplc="FFFFFFFF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D27B1"/>
    <w:multiLevelType w:val="multilevel"/>
    <w:tmpl w:val="C81EE04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16"/>
        </w:tabs>
        <w:ind w:left="916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6">
    <w:nsid w:val="14DE3EB7"/>
    <w:multiLevelType w:val="hybridMultilevel"/>
    <w:tmpl w:val="2F2C3786"/>
    <w:lvl w:ilvl="0" w:tplc="0F9E7BF0">
      <w:start w:val="1"/>
      <w:numFmt w:val="decimal"/>
      <w:lvlText w:val="%1)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1" w:tplc="9E5498EE">
      <w:numFmt w:val="bullet"/>
      <w:lvlText w:val="-"/>
      <w:lvlJc w:val="left"/>
      <w:pPr>
        <w:tabs>
          <w:tab w:val="num" w:pos="1846"/>
        </w:tabs>
        <w:ind w:left="1846" w:hanging="69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7">
    <w:nsid w:val="3AF51B89"/>
    <w:multiLevelType w:val="hybridMultilevel"/>
    <w:tmpl w:val="8144B09A"/>
    <w:lvl w:ilvl="0" w:tplc="D4AEB9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3BE16EE1"/>
    <w:multiLevelType w:val="multilevel"/>
    <w:tmpl w:val="203CF8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6"/>
        </w:tabs>
        <w:ind w:left="856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9">
    <w:nsid w:val="436654D2"/>
    <w:multiLevelType w:val="multilevel"/>
    <w:tmpl w:val="9F4E07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10">
    <w:nsid w:val="4AC82C15"/>
    <w:multiLevelType w:val="multilevel"/>
    <w:tmpl w:val="830032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91"/>
        </w:tabs>
        <w:ind w:left="791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013"/>
        </w:tabs>
        <w:ind w:left="2013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80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35"/>
        </w:tabs>
        <w:ind w:left="323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402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457"/>
        </w:tabs>
        <w:ind w:left="4457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248"/>
        </w:tabs>
        <w:ind w:left="5248" w:hanging="1800"/>
      </w:pPr>
      <w:rPr>
        <w:rFonts w:cs="Times New Roman" w:hint="default"/>
        <w:color w:val="auto"/>
      </w:rPr>
    </w:lvl>
  </w:abstractNum>
  <w:abstractNum w:abstractNumId="11">
    <w:nsid w:val="4F982EAC"/>
    <w:multiLevelType w:val="multilevel"/>
    <w:tmpl w:val="0E1A63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12">
    <w:nsid w:val="65717B68"/>
    <w:multiLevelType w:val="hybridMultilevel"/>
    <w:tmpl w:val="F7F64632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A6A95"/>
    <w:multiLevelType w:val="hybridMultilevel"/>
    <w:tmpl w:val="6834029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D3D015E"/>
    <w:multiLevelType w:val="multilevel"/>
    <w:tmpl w:val="4B346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15">
    <w:nsid w:val="791D2D92"/>
    <w:multiLevelType w:val="multilevel"/>
    <w:tmpl w:val="C08C74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  <w:sz w:val="24"/>
      </w:rPr>
    </w:lvl>
  </w:abstractNum>
  <w:abstractNum w:abstractNumId="16">
    <w:nsid w:val="791D31B1"/>
    <w:multiLevelType w:val="hybridMultilevel"/>
    <w:tmpl w:val="447A5ACC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79382AA1"/>
    <w:multiLevelType w:val="multilevel"/>
    <w:tmpl w:val="2C66AD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6"/>
        </w:tabs>
        <w:ind w:left="79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8"/>
        </w:tabs>
        <w:ind w:left="20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60"/>
        </w:tabs>
        <w:ind w:left="3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6"/>
        </w:tabs>
        <w:ind w:left="40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92"/>
        </w:tabs>
        <w:ind w:left="44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8"/>
        </w:tabs>
        <w:ind w:left="5288" w:hanging="1800"/>
      </w:pPr>
      <w:rPr>
        <w:rFonts w:cs="Times New Roman" w:hint="default"/>
      </w:rPr>
    </w:lvl>
  </w:abstractNum>
  <w:abstractNum w:abstractNumId="18">
    <w:nsid w:val="7CDD1096"/>
    <w:multiLevelType w:val="hybridMultilevel"/>
    <w:tmpl w:val="1D0CCE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6076D1"/>
    <w:multiLevelType w:val="multilevel"/>
    <w:tmpl w:val="7B108118"/>
    <w:styleLink w:val="a"/>
    <w:lvl w:ilvl="0">
      <w:start w:val="1"/>
      <w:numFmt w:val="decimal"/>
      <w:suff w:val="space"/>
      <w:lvlText w:val="Глава %1"/>
      <w:lvlJc w:val="left"/>
      <w:pPr>
        <w:ind w:left="708"/>
      </w:pPr>
      <w:rPr>
        <w:rFonts w:ascii="Times New Roman" w:hAnsi="Times New Roman" w:cs="Times New Roman"/>
        <w:b/>
        <w:sz w:val="28"/>
      </w:rPr>
    </w:lvl>
    <w:lvl w:ilvl="1">
      <w:start w:val="1"/>
      <w:numFmt w:val="none"/>
      <w:suff w:val="nothing"/>
      <w:lvlText w:val="1.1"/>
      <w:lvlJc w:val="left"/>
      <w:pPr>
        <w:ind w:left="1260"/>
      </w:pPr>
      <w:rPr>
        <w:rFonts w:ascii="Times New Roman" w:hAnsi="Times New Roman" w:cs="Times New Roman"/>
        <w:sz w:val="28"/>
      </w:rPr>
    </w:lvl>
    <w:lvl w:ilvl="2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260"/>
      </w:pPr>
      <w:rPr>
        <w:rFonts w:cs="Times New Roman" w:hint="default"/>
      </w:r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6"/>
  </w:num>
  <w:num w:numId="8">
    <w:abstractNumId w:val="6"/>
  </w:num>
  <w:num w:numId="9">
    <w:abstractNumId w:val="7"/>
  </w:num>
  <w:num w:numId="10">
    <w:abstractNumId w:val="14"/>
  </w:num>
  <w:num w:numId="11">
    <w:abstractNumId w:val="9"/>
  </w:num>
  <w:num w:numId="12">
    <w:abstractNumId w:val="17"/>
  </w:num>
  <w:num w:numId="13">
    <w:abstractNumId w:val="8"/>
  </w:num>
  <w:num w:numId="14">
    <w:abstractNumId w:val="11"/>
  </w:num>
  <w:num w:numId="15">
    <w:abstractNumId w:val="15"/>
  </w:num>
  <w:num w:numId="16">
    <w:abstractNumId w:val="5"/>
  </w:num>
  <w:num w:numId="17">
    <w:abstractNumId w:val="1"/>
  </w:num>
  <w:num w:numId="18">
    <w:abstractNumId w:val="10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530"/>
    <w:rsid w:val="00032F25"/>
    <w:rsid w:val="00087DEB"/>
    <w:rsid w:val="001578F1"/>
    <w:rsid w:val="002E3DBA"/>
    <w:rsid w:val="0036144F"/>
    <w:rsid w:val="00515084"/>
    <w:rsid w:val="005C2161"/>
    <w:rsid w:val="00642726"/>
    <w:rsid w:val="00691530"/>
    <w:rsid w:val="006D1D49"/>
    <w:rsid w:val="00712D86"/>
    <w:rsid w:val="00925F52"/>
    <w:rsid w:val="00995B1D"/>
    <w:rsid w:val="00CE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CC858C2-38F6-4A54-9F0B-5CA40CEE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4272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5C216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n-GB" w:eastAsia="ru-RU"/>
    </w:rPr>
  </w:style>
  <w:style w:type="paragraph" w:styleId="2">
    <w:name w:val="heading 2"/>
    <w:basedOn w:val="a0"/>
    <w:link w:val="20"/>
    <w:uiPriority w:val="9"/>
    <w:qFormat/>
    <w:rsid w:val="005C216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en-GB" w:eastAsia="ru-RU"/>
    </w:rPr>
  </w:style>
  <w:style w:type="paragraph" w:styleId="3">
    <w:name w:val="heading 3"/>
    <w:basedOn w:val="a0"/>
    <w:next w:val="a0"/>
    <w:link w:val="30"/>
    <w:uiPriority w:val="9"/>
    <w:qFormat/>
    <w:rsid w:val="005C216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 w:eastAsia="ru-RU"/>
    </w:rPr>
  </w:style>
  <w:style w:type="paragraph" w:styleId="4">
    <w:name w:val="heading 4"/>
    <w:basedOn w:val="a0"/>
    <w:next w:val="a0"/>
    <w:link w:val="40"/>
    <w:uiPriority w:val="9"/>
    <w:qFormat/>
    <w:rsid w:val="005C216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GB" w:eastAsia="ru-RU"/>
    </w:rPr>
  </w:style>
  <w:style w:type="paragraph" w:styleId="5">
    <w:name w:val="heading 5"/>
    <w:basedOn w:val="a0"/>
    <w:next w:val="a0"/>
    <w:link w:val="50"/>
    <w:uiPriority w:val="9"/>
    <w:qFormat/>
    <w:rsid w:val="005C216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en-GB" w:eastAsia="ru-RU"/>
    </w:rPr>
  </w:style>
  <w:style w:type="paragraph" w:styleId="6">
    <w:name w:val="heading 6"/>
    <w:basedOn w:val="a0"/>
    <w:next w:val="a0"/>
    <w:link w:val="60"/>
    <w:uiPriority w:val="9"/>
    <w:qFormat/>
    <w:rsid w:val="005C2161"/>
    <w:pPr>
      <w:spacing w:before="240" w:after="60" w:line="240" w:lineRule="auto"/>
      <w:outlineLvl w:val="5"/>
    </w:pPr>
    <w:rPr>
      <w:rFonts w:ascii="Times New Roman" w:hAnsi="Times New Roman"/>
      <w:b/>
      <w:bCs/>
      <w:lang w:val="en-GB" w:eastAsia="ru-RU"/>
    </w:rPr>
  </w:style>
  <w:style w:type="paragraph" w:styleId="7">
    <w:name w:val="heading 7"/>
    <w:basedOn w:val="a0"/>
    <w:next w:val="a0"/>
    <w:link w:val="70"/>
    <w:uiPriority w:val="9"/>
    <w:qFormat/>
    <w:rsid w:val="005C2161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en-GB" w:eastAsia="ru-RU"/>
    </w:rPr>
  </w:style>
  <w:style w:type="paragraph" w:styleId="8">
    <w:name w:val="heading 8"/>
    <w:basedOn w:val="a0"/>
    <w:next w:val="a0"/>
    <w:link w:val="80"/>
    <w:uiPriority w:val="9"/>
    <w:qFormat/>
    <w:rsid w:val="005C2161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GB" w:eastAsia="ru-RU"/>
    </w:rPr>
  </w:style>
  <w:style w:type="paragraph" w:styleId="9">
    <w:name w:val="heading 9"/>
    <w:basedOn w:val="a0"/>
    <w:next w:val="a0"/>
    <w:link w:val="90"/>
    <w:uiPriority w:val="9"/>
    <w:qFormat/>
    <w:rsid w:val="005C2161"/>
    <w:pPr>
      <w:spacing w:before="240" w:after="60" w:line="240" w:lineRule="auto"/>
      <w:outlineLvl w:val="8"/>
    </w:pPr>
    <w:rPr>
      <w:rFonts w:ascii="Arial" w:hAnsi="Arial" w:cs="Arial"/>
      <w:lang w:val="en-GB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C2161"/>
    <w:rPr>
      <w:rFonts w:ascii="Arial" w:hAnsi="Arial" w:cs="Arial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link w:val="2"/>
    <w:uiPriority w:val="9"/>
    <w:locked/>
    <w:rsid w:val="005C2161"/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30">
    <w:name w:val="Заголовок 3 Знак"/>
    <w:link w:val="3"/>
    <w:uiPriority w:val="9"/>
    <w:locked/>
    <w:rsid w:val="005C2161"/>
    <w:rPr>
      <w:rFonts w:ascii="Arial" w:hAnsi="Arial" w:cs="Arial"/>
      <w:b/>
      <w:bCs/>
      <w:sz w:val="26"/>
      <w:szCs w:val="26"/>
      <w:lang w:val="en-GB" w:eastAsia="ru-RU"/>
    </w:rPr>
  </w:style>
  <w:style w:type="character" w:customStyle="1" w:styleId="40">
    <w:name w:val="Заголовок 4 Знак"/>
    <w:link w:val="4"/>
    <w:uiPriority w:val="9"/>
    <w:locked/>
    <w:rsid w:val="005C2161"/>
    <w:rPr>
      <w:rFonts w:ascii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50">
    <w:name w:val="Заголовок 5 Знак"/>
    <w:link w:val="5"/>
    <w:uiPriority w:val="9"/>
    <w:locked/>
    <w:rsid w:val="005C2161"/>
    <w:rPr>
      <w:rFonts w:ascii="Times New Roman" w:hAnsi="Times New Roman" w:cs="Times New Roman"/>
      <w:b/>
      <w:bCs/>
      <w:i/>
      <w:iCs/>
      <w:sz w:val="26"/>
      <w:szCs w:val="26"/>
      <w:lang w:val="en-GB" w:eastAsia="ru-RU"/>
    </w:rPr>
  </w:style>
  <w:style w:type="character" w:customStyle="1" w:styleId="60">
    <w:name w:val="Заголовок 6 Знак"/>
    <w:link w:val="6"/>
    <w:uiPriority w:val="9"/>
    <w:locked/>
    <w:rsid w:val="005C2161"/>
    <w:rPr>
      <w:rFonts w:ascii="Times New Roman" w:hAnsi="Times New Roman" w:cs="Times New Roman"/>
      <w:b/>
      <w:bCs/>
      <w:lang w:val="en-GB" w:eastAsia="ru-RU"/>
    </w:rPr>
  </w:style>
  <w:style w:type="character" w:customStyle="1" w:styleId="70">
    <w:name w:val="Заголовок 7 Знак"/>
    <w:link w:val="7"/>
    <w:uiPriority w:val="9"/>
    <w:locked/>
    <w:rsid w:val="005C2161"/>
    <w:rPr>
      <w:rFonts w:ascii="Times New Roman" w:hAnsi="Times New Roman" w:cs="Times New Roman"/>
      <w:sz w:val="24"/>
      <w:szCs w:val="24"/>
      <w:lang w:val="en-GB" w:eastAsia="ru-RU"/>
    </w:rPr>
  </w:style>
  <w:style w:type="character" w:customStyle="1" w:styleId="80">
    <w:name w:val="Заголовок 8 Знак"/>
    <w:link w:val="8"/>
    <w:uiPriority w:val="9"/>
    <w:locked/>
    <w:rsid w:val="005C2161"/>
    <w:rPr>
      <w:rFonts w:ascii="Times New Roman" w:hAnsi="Times New Roman" w:cs="Times New Roman"/>
      <w:i/>
      <w:iCs/>
      <w:sz w:val="24"/>
      <w:szCs w:val="24"/>
      <w:lang w:val="en-GB" w:eastAsia="ru-RU"/>
    </w:rPr>
  </w:style>
  <w:style w:type="character" w:customStyle="1" w:styleId="90">
    <w:name w:val="Заголовок 9 Знак"/>
    <w:link w:val="9"/>
    <w:uiPriority w:val="9"/>
    <w:locked/>
    <w:rsid w:val="005C2161"/>
    <w:rPr>
      <w:rFonts w:ascii="Arial" w:hAnsi="Arial" w:cs="Arial"/>
      <w:lang w:val="en-GB" w:eastAsia="ru-RU"/>
    </w:rPr>
  </w:style>
  <w:style w:type="paragraph" w:styleId="a4">
    <w:name w:val="footer"/>
    <w:basedOn w:val="a0"/>
    <w:link w:val="a5"/>
    <w:uiPriority w:val="99"/>
    <w:rsid w:val="005C21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ижній колонтитул Знак"/>
    <w:link w:val="a4"/>
    <w:uiPriority w:val="99"/>
    <w:locked/>
    <w:rsid w:val="005C216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uiPriority w:val="99"/>
    <w:rsid w:val="005C2161"/>
    <w:rPr>
      <w:rFonts w:cs="Times New Roman"/>
    </w:rPr>
  </w:style>
  <w:style w:type="paragraph" w:styleId="a7">
    <w:name w:val="footnote text"/>
    <w:basedOn w:val="a0"/>
    <w:link w:val="a8"/>
    <w:uiPriority w:val="99"/>
    <w:semiHidden/>
    <w:rsid w:val="005C216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виноски Знак"/>
    <w:link w:val="a7"/>
    <w:uiPriority w:val="99"/>
    <w:semiHidden/>
    <w:locked/>
    <w:rsid w:val="005C216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9">
    <w:name w:val="footnote reference"/>
    <w:uiPriority w:val="99"/>
    <w:semiHidden/>
    <w:rsid w:val="005C2161"/>
    <w:rPr>
      <w:rFonts w:cs="Times New Roman"/>
      <w:vertAlign w:val="superscript"/>
    </w:rPr>
  </w:style>
  <w:style w:type="paragraph" w:styleId="aa">
    <w:name w:val="header"/>
    <w:basedOn w:val="a0"/>
    <w:link w:val="ab"/>
    <w:uiPriority w:val="99"/>
    <w:rsid w:val="005C216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Верхній колонтитул Знак"/>
    <w:link w:val="aa"/>
    <w:uiPriority w:val="99"/>
    <w:locked/>
    <w:rsid w:val="005C21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c">
    <w:name w:val="Body Text Indent"/>
    <w:basedOn w:val="a0"/>
    <w:link w:val="ad"/>
    <w:uiPriority w:val="99"/>
    <w:rsid w:val="005C2161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locked/>
    <w:rsid w:val="005C2161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uiPriority w:val="99"/>
    <w:rsid w:val="005C2161"/>
    <w:rPr>
      <w:rFonts w:cs="Times New Roman"/>
      <w:color w:val="0066FF"/>
      <w:u w:val="single"/>
    </w:rPr>
  </w:style>
  <w:style w:type="character" w:styleId="af">
    <w:name w:val="Strong"/>
    <w:uiPriority w:val="22"/>
    <w:qFormat/>
    <w:rsid w:val="005C2161"/>
    <w:rPr>
      <w:rFonts w:cs="Times New Roman"/>
      <w:b/>
      <w:bCs/>
    </w:rPr>
  </w:style>
  <w:style w:type="paragraph" w:styleId="af0">
    <w:name w:val="Body Text"/>
    <w:basedOn w:val="a0"/>
    <w:link w:val="af1"/>
    <w:uiPriority w:val="99"/>
    <w:rsid w:val="005C2161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ий текст Знак"/>
    <w:link w:val="af0"/>
    <w:uiPriority w:val="99"/>
    <w:locked/>
    <w:rsid w:val="005C2161"/>
    <w:rPr>
      <w:rFonts w:ascii="Times New Roman" w:hAnsi="Times New Roman" w:cs="Times New Roman"/>
      <w:sz w:val="24"/>
      <w:szCs w:val="24"/>
      <w:lang w:val="x-none" w:eastAsia="ru-RU"/>
    </w:rPr>
  </w:style>
  <w:style w:type="table" w:styleId="af2">
    <w:name w:val="Table Grid"/>
    <w:basedOn w:val="a2"/>
    <w:uiPriority w:val="59"/>
    <w:rsid w:val="005C2161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ndnote reference"/>
    <w:uiPriority w:val="99"/>
    <w:semiHidden/>
    <w:rsid w:val="005C2161"/>
    <w:rPr>
      <w:rFonts w:cs="Times New Roman"/>
      <w:vertAlign w:val="superscript"/>
    </w:rPr>
  </w:style>
  <w:style w:type="paragraph" w:styleId="21">
    <w:name w:val="Body Text 2"/>
    <w:basedOn w:val="a0"/>
    <w:link w:val="22"/>
    <w:uiPriority w:val="99"/>
    <w:rsid w:val="005C2161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ий текст 2 Знак"/>
    <w:link w:val="21"/>
    <w:uiPriority w:val="99"/>
    <w:locked/>
    <w:rsid w:val="005C2161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NormalPar">
    <w:name w:val="NormalPar"/>
    <w:rsid w:val="005C2161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 w:bidi="he-IL"/>
    </w:rPr>
  </w:style>
  <w:style w:type="character" w:customStyle="1" w:styleId="footnotereference">
    <w:name w:val="footnote_reference"/>
    <w:rsid w:val="005C2161"/>
    <w:rPr>
      <w:rFonts w:ascii="Arial" w:hAnsi="Arial" w:cs="Arial"/>
    </w:rPr>
  </w:style>
  <w:style w:type="character" w:customStyle="1" w:styleId="n2-text">
    <w:name w:val="n2-text"/>
    <w:rsid w:val="005C2161"/>
  </w:style>
  <w:style w:type="paragraph" w:styleId="23">
    <w:name w:val="Body Text Indent 2"/>
    <w:basedOn w:val="a0"/>
    <w:link w:val="24"/>
    <w:uiPriority w:val="99"/>
    <w:rsid w:val="005C216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link w:val="23"/>
    <w:uiPriority w:val="99"/>
    <w:locked/>
    <w:rsid w:val="005C21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4">
    <w:name w:val="endnote text"/>
    <w:basedOn w:val="a0"/>
    <w:link w:val="af5"/>
    <w:uiPriority w:val="99"/>
    <w:semiHidden/>
    <w:rsid w:val="005C216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5">
    <w:name w:val="Текст кінцевої виноски Знак"/>
    <w:link w:val="af4"/>
    <w:uiPriority w:val="99"/>
    <w:semiHidden/>
    <w:locked/>
    <w:rsid w:val="005C216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text">
    <w:name w:val="text"/>
    <w:basedOn w:val="a0"/>
    <w:rsid w:val="005C2161"/>
    <w:pPr>
      <w:spacing w:before="100" w:beforeAutospacing="1" w:after="100" w:afterAutospacing="1" w:line="240" w:lineRule="auto"/>
      <w:ind w:firstLine="525"/>
    </w:pPr>
    <w:rPr>
      <w:rFonts w:ascii="Times" w:hAnsi="Times" w:cs="Times"/>
      <w:sz w:val="21"/>
      <w:szCs w:val="21"/>
      <w:lang w:eastAsia="ru-RU"/>
    </w:rPr>
  </w:style>
  <w:style w:type="paragraph" w:styleId="af6">
    <w:name w:val="Normal (Web)"/>
    <w:basedOn w:val="a0"/>
    <w:uiPriority w:val="99"/>
    <w:rsid w:val="005C2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int1">
    <w:name w:val="maint1"/>
    <w:rsid w:val="005C2161"/>
    <w:rPr>
      <w:rFonts w:ascii="Arial" w:hAnsi="Arial" w:cs="Arial"/>
      <w:sz w:val="18"/>
      <w:szCs w:val="18"/>
    </w:rPr>
  </w:style>
  <w:style w:type="paragraph" w:styleId="af7">
    <w:name w:val="Plain Text"/>
    <w:basedOn w:val="a0"/>
    <w:link w:val="af8"/>
    <w:uiPriority w:val="99"/>
    <w:rsid w:val="005C2161"/>
    <w:pPr>
      <w:spacing w:after="0" w:line="240" w:lineRule="auto"/>
    </w:pPr>
    <w:rPr>
      <w:rFonts w:ascii="Courier New" w:hAnsi="Courier New"/>
      <w:sz w:val="20"/>
      <w:szCs w:val="20"/>
      <w:lang w:val="tr-TR" w:eastAsia="tr-TR"/>
    </w:rPr>
  </w:style>
  <w:style w:type="character" w:customStyle="1" w:styleId="af8">
    <w:name w:val="Текст Знак"/>
    <w:link w:val="af7"/>
    <w:uiPriority w:val="99"/>
    <w:locked/>
    <w:rsid w:val="005C2161"/>
    <w:rPr>
      <w:rFonts w:ascii="Courier New" w:hAnsi="Courier New" w:cs="Times New Roman"/>
      <w:sz w:val="20"/>
      <w:szCs w:val="20"/>
      <w:lang w:val="tr-TR" w:eastAsia="tr-TR"/>
    </w:rPr>
  </w:style>
  <w:style w:type="paragraph" w:styleId="af9">
    <w:name w:val="Balloon Text"/>
    <w:basedOn w:val="a0"/>
    <w:link w:val="afa"/>
    <w:uiPriority w:val="99"/>
    <w:semiHidden/>
    <w:rsid w:val="005C2161"/>
    <w:pPr>
      <w:spacing w:after="0" w:line="240" w:lineRule="auto"/>
    </w:pPr>
    <w:rPr>
      <w:rFonts w:ascii="Tahoma" w:hAnsi="Tahoma" w:cs="Verdana"/>
      <w:sz w:val="16"/>
      <w:szCs w:val="16"/>
      <w:lang w:val="en-GB" w:eastAsia="ru-RU"/>
    </w:rPr>
  </w:style>
  <w:style w:type="character" w:customStyle="1" w:styleId="afa">
    <w:name w:val="Текст у виносці Знак"/>
    <w:link w:val="af9"/>
    <w:uiPriority w:val="99"/>
    <w:semiHidden/>
    <w:locked/>
    <w:rsid w:val="005C2161"/>
    <w:rPr>
      <w:rFonts w:ascii="Tahoma" w:hAnsi="Tahoma" w:cs="Verdana"/>
      <w:sz w:val="16"/>
      <w:szCs w:val="16"/>
      <w:lang w:val="en-GB" w:eastAsia="ru-RU"/>
    </w:rPr>
  </w:style>
  <w:style w:type="character" w:customStyle="1" w:styleId="spelle">
    <w:name w:val="spelle"/>
    <w:rsid w:val="005C2161"/>
    <w:rPr>
      <w:rFonts w:cs="Times New Roman"/>
    </w:rPr>
  </w:style>
  <w:style w:type="character" w:styleId="afb">
    <w:name w:val="annotation reference"/>
    <w:uiPriority w:val="99"/>
    <w:semiHidden/>
    <w:rsid w:val="005C2161"/>
    <w:rPr>
      <w:rFonts w:cs="Times New Roman"/>
      <w:sz w:val="16"/>
      <w:szCs w:val="16"/>
    </w:rPr>
  </w:style>
  <w:style w:type="paragraph" w:styleId="afc">
    <w:name w:val="annotation text"/>
    <w:basedOn w:val="a0"/>
    <w:link w:val="afd"/>
    <w:uiPriority w:val="99"/>
    <w:semiHidden/>
    <w:rsid w:val="005C2161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fd">
    <w:name w:val="Текст примітки Знак"/>
    <w:link w:val="afc"/>
    <w:uiPriority w:val="99"/>
    <w:semiHidden/>
    <w:locked/>
    <w:rsid w:val="005C2161"/>
    <w:rPr>
      <w:rFonts w:ascii="Times New Roman" w:hAnsi="Times New Roman" w:cs="Times New Roman"/>
      <w:sz w:val="20"/>
      <w:szCs w:val="20"/>
      <w:lang w:val="en-GB" w:eastAsia="ru-RU"/>
    </w:rPr>
  </w:style>
  <w:style w:type="paragraph" w:styleId="afe">
    <w:name w:val="annotation subject"/>
    <w:basedOn w:val="afc"/>
    <w:next w:val="afc"/>
    <w:link w:val="aff"/>
    <w:uiPriority w:val="99"/>
    <w:semiHidden/>
    <w:rsid w:val="005C2161"/>
    <w:rPr>
      <w:b/>
      <w:bCs/>
    </w:rPr>
  </w:style>
  <w:style w:type="character" w:customStyle="1" w:styleId="aff">
    <w:name w:val="Тема примітки Знак"/>
    <w:link w:val="afe"/>
    <w:uiPriority w:val="99"/>
    <w:semiHidden/>
    <w:locked/>
    <w:rsid w:val="005C2161"/>
    <w:rPr>
      <w:rFonts w:ascii="Times New Roman" w:hAnsi="Times New Roman" w:cs="Times New Roman"/>
      <w:b/>
      <w:bCs/>
      <w:sz w:val="20"/>
      <w:szCs w:val="20"/>
      <w:lang w:val="en-GB" w:eastAsia="ru-RU"/>
    </w:rPr>
  </w:style>
  <w:style w:type="character" w:styleId="aff0">
    <w:name w:val="FollowedHyperlink"/>
    <w:uiPriority w:val="99"/>
    <w:rsid w:val="005C2161"/>
    <w:rPr>
      <w:rFonts w:cs="Times New Roman"/>
      <w:color w:val="800080"/>
      <w:u w:val="single"/>
    </w:rPr>
  </w:style>
  <w:style w:type="paragraph" w:customStyle="1" w:styleId="Web">
    <w:name w:val="Обычный (Web)"/>
    <w:basedOn w:val="a0"/>
    <w:rsid w:val="005C2161"/>
    <w:pPr>
      <w:spacing w:before="100" w:after="100" w:line="240" w:lineRule="auto"/>
    </w:pPr>
    <w:rPr>
      <w:rFonts w:ascii="Times New Roman" w:hAnsi="Times New Roman"/>
      <w:sz w:val="24"/>
      <w:szCs w:val="20"/>
      <w:lang w:eastAsia="ru-RU"/>
    </w:rPr>
  </w:style>
  <w:style w:type="character" w:styleId="aff1">
    <w:name w:val="Emphasis"/>
    <w:uiPriority w:val="20"/>
    <w:qFormat/>
    <w:rsid w:val="005C2161"/>
    <w:rPr>
      <w:rFonts w:cs="Times New Roman"/>
      <w:i/>
      <w:iCs/>
    </w:rPr>
  </w:style>
  <w:style w:type="paragraph" w:customStyle="1" w:styleId="-14">
    <w:name w:val="Абзац-14"/>
    <w:basedOn w:val="a0"/>
    <w:rsid w:val="005C2161"/>
    <w:pPr>
      <w:spacing w:after="0" w:line="360" w:lineRule="auto"/>
      <w:ind w:firstLine="737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f2">
    <w:name w:val="a"/>
    <w:rsid w:val="005C2161"/>
    <w:rPr>
      <w:rFonts w:cs="Times New Roman"/>
    </w:rPr>
  </w:style>
  <w:style w:type="paragraph" w:styleId="31">
    <w:name w:val="Body Text Indent 3"/>
    <w:basedOn w:val="a0"/>
    <w:link w:val="32"/>
    <w:uiPriority w:val="99"/>
    <w:rsid w:val="005C2161"/>
    <w:pPr>
      <w:spacing w:after="0" w:line="240" w:lineRule="auto"/>
      <w:ind w:firstLine="426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link w:val="31"/>
    <w:uiPriority w:val="99"/>
    <w:locked/>
    <w:rsid w:val="005C216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mainauthor1">
    <w:name w:val="mainauthor1"/>
    <w:rsid w:val="005C2161"/>
    <w:rPr>
      <w:rFonts w:ascii="Arial" w:hAnsi="Arial" w:cs="Arial"/>
      <w:b/>
      <w:bCs/>
      <w:color w:val="656565"/>
      <w:sz w:val="21"/>
      <w:szCs w:val="21"/>
    </w:rPr>
  </w:style>
  <w:style w:type="character" w:customStyle="1" w:styleId="q">
    <w:name w:val="q"/>
    <w:rsid w:val="005C2161"/>
    <w:rPr>
      <w:rFonts w:cs="Times New Roman"/>
    </w:rPr>
  </w:style>
  <w:style w:type="character" w:customStyle="1" w:styleId="aff3">
    <w:name w:val="Знак Знак"/>
    <w:rsid w:val="005C2161"/>
    <w:rPr>
      <w:rFonts w:ascii="Calibri" w:hAnsi="Calibri" w:cs="Arial"/>
      <w:sz w:val="22"/>
      <w:szCs w:val="22"/>
      <w:lang w:val="ru-RU" w:eastAsia="en-US" w:bidi="he-IL"/>
    </w:rPr>
  </w:style>
  <w:style w:type="character" w:customStyle="1" w:styleId="style911">
    <w:name w:val="style911"/>
    <w:rsid w:val="005C2161"/>
    <w:rPr>
      <w:rFonts w:ascii="Arial" w:hAnsi="Arial" w:cs="Arial"/>
      <w:sz w:val="20"/>
      <w:szCs w:val="20"/>
    </w:rPr>
  </w:style>
  <w:style w:type="character" w:customStyle="1" w:styleId="l1">
    <w:name w:val="l1"/>
    <w:rsid w:val="005C2161"/>
    <w:rPr>
      <w:rFonts w:cs="Times New Roman"/>
      <w:color w:val="0000CC"/>
    </w:rPr>
  </w:style>
  <w:style w:type="character" w:customStyle="1" w:styleId="bighead1">
    <w:name w:val="bighead1"/>
    <w:rsid w:val="005C2161"/>
    <w:rPr>
      <w:rFonts w:ascii="Verdana" w:hAnsi="Verdana" w:cs="Times New Roman"/>
      <w:b/>
      <w:bCs/>
      <w:sz w:val="27"/>
      <w:szCs w:val="27"/>
    </w:rPr>
  </w:style>
  <w:style w:type="character" w:customStyle="1" w:styleId="text21">
    <w:name w:val="text21"/>
    <w:rsid w:val="005C2161"/>
    <w:rPr>
      <w:rFonts w:ascii="Verdana" w:hAnsi="Verdana" w:cs="Times New Roman"/>
      <w:sz w:val="18"/>
      <w:szCs w:val="18"/>
    </w:rPr>
  </w:style>
  <w:style w:type="paragraph" w:styleId="aff4">
    <w:name w:val="List Paragraph"/>
    <w:basedOn w:val="a0"/>
    <w:uiPriority w:val="34"/>
    <w:qFormat/>
    <w:rsid w:val="00925F52"/>
    <w:pPr>
      <w:ind w:left="720"/>
      <w:contextualSpacing/>
    </w:pPr>
  </w:style>
  <w:style w:type="numbering" w:customStyle="1" w:styleId="a">
    <w:name w:val="содержание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11369</Words>
  <Characters>64805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</dc:creator>
  <cp:keywords/>
  <dc:description/>
  <cp:lastModifiedBy>Irina</cp:lastModifiedBy>
  <cp:revision>2</cp:revision>
  <dcterms:created xsi:type="dcterms:W3CDTF">2014-08-12T13:20:00Z</dcterms:created>
  <dcterms:modified xsi:type="dcterms:W3CDTF">2014-08-12T13:20:00Z</dcterms:modified>
</cp:coreProperties>
</file>