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E50" w:rsidRDefault="00760E50">
      <w:pPr>
        <w:widowControl w:val="0"/>
        <w:spacing w:before="120"/>
        <w:jc w:val="center"/>
        <w:rPr>
          <w:b/>
          <w:bCs/>
          <w:color w:val="000000"/>
          <w:sz w:val="32"/>
          <w:szCs w:val="32"/>
        </w:rPr>
      </w:pPr>
      <w:r>
        <w:rPr>
          <w:b/>
          <w:bCs/>
          <w:color w:val="000000"/>
          <w:sz w:val="32"/>
          <w:szCs w:val="32"/>
        </w:rPr>
        <w:t>Цусима</w:t>
      </w:r>
    </w:p>
    <w:p w:rsidR="00760E50" w:rsidRDefault="00760E50">
      <w:pPr>
        <w:widowControl w:val="0"/>
        <w:spacing w:before="120"/>
        <w:ind w:firstLine="567"/>
        <w:jc w:val="both"/>
        <w:rPr>
          <w:color w:val="000000"/>
          <w:sz w:val="24"/>
          <w:szCs w:val="24"/>
        </w:rPr>
      </w:pPr>
      <w:r>
        <w:rPr>
          <w:rStyle w:val="a3"/>
          <w:b w:val="0"/>
          <w:bCs w:val="0"/>
          <w:color w:val="000000"/>
          <w:sz w:val="24"/>
          <w:szCs w:val="24"/>
        </w:rPr>
        <w:t>15 октября 1904 - 26 мая 1905 гг</w:t>
      </w:r>
      <w:r>
        <w:rPr>
          <w:color w:val="000000"/>
          <w:sz w:val="24"/>
          <w:szCs w:val="24"/>
        </w:rPr>
        <w:t>. Поход Балтийского флота. Сразу после начала войны, в Петербурге было принято решение усилить Порт-Артурскую (1-ю Тихоокеанскую) эскадру кораблями Балтийского флота. Предполагалось, что эти корабли, придя на театр военных действий, снимут морскую блокаду Порт-Артура. К несчастью, четыре однотипных броненосца, которые должны были составить ядро 2-й эскадры, находились в стадии достройки. Трудности технического и политического характера привели к тому, что корабли вышли из Кронштадта только в августе, и лишь в октябре покинули Либаву. Это означало, что на Дальнем Востоке эскадра будет не раньше февраля-марта. Надежды, что крепость удержится до этого времени, было мало, потому перед эскадрой была поставлена малореальная задача завоевать господство на море своими силами. Под нажимом Англии нейтральные государства (включая Францию, являющуюся формальным союзником России) запретили 2-й Тихоокеанской эскадре заходить в свои порты.</w:t>
      </w:r>
    </w:p>
    <w:p w:rsidR="00760E50" w:rsidRDefault="00760E50">
      <w:pPr>
        <w:widowControl w:val="0"/>
        <w:spacing w:before="120"/>
        <w:ind w:firstLine="567"/>
        <w:jc w:val="both"/>
        <w:rPr>
          <w:color w:val="000000"/>
          <w:sz w:val="24"/>
          <w:szCs w:val="24"/>
        </w:rPr>
      </w:pPr>
      <w:r>
        <w:rPr>
          <w:color w:val="000000"/>
          <w:sz w:val="24"/>
          <w:szCs w:val="24"/>
        </w:rPr>
        <w:t>Двинувшаяся на Дальний Восток русская армада состояла из 2-й Тихоокеанской эскадры под командованием малокомпетентного вице-адмирала Зиновия Петровича Рожественского, державшего флаг на эскадренном броненосце "Князь Суворов", и 1-го отряда 3-й Тихоокеанской эскадры под командованием контр-адмирала Николая Ивановича Небогатова, державшего флаг на эскадренном броненосце "Император Николай I". Корабли 2-й эскадры вышли из портов Ревеля (совр. Таллинна Эстонии), Либавы (совр. Лиепая в Латвии), 3-й-из Кронштадта. Уже несколько дней спустя с ним приключилось первое несчастье, когда неподалеку от Доггер-банки (обширной отмели в центральной части Северного моря, вытянутой с юго-запада на северо-восток на 259 км, шириной около 33 км. с глубинами 14,6 - 36,5 м.). В результате ложной тревоги (якобы из-за японской торпедной атаки) огонь русской артиллерии обрушился на британскую рыболовецкую флотилию. Несколько британских траулеров было повреждено, убито двое и ранено 6 рыбаков. Этот инцидент чуть было не послужил поводом для войны с Великобританией, и пока русская армада не прошла Бискайский залив, ее сопровождали британские крейсера.</w:t>
      </w:r>
    </w:p>
    <w:p w:rsidR="00760E50" w:rsidRDefault="00760E50">
      <w:pPr>
        <w:widowControl w:val="0"/>
        <w:spacing w:before="120"/>
        <w:ind w:firstLine="567"/>
        <w:jc w:val="both"/>
        <w:rPr>
          <w:color w:val="000000"/>
          <w:sz w:val="24"/>
          <w:szCs w:val="24"/>
        </w:rPr>
      </w:pPr>
      <w:r>
        <w:rPr>
          <w:rStyle w:val="a5"/>
          <w:i w:val="0"/>
          <w:iCs w:val="0"/>
          <w:color w:val="000000"/>
          <w:sz w:val="24"/>
          <w:szCs w:val="24"/>
        </w:rPr>
        <w:t>Позже международный трибунал признал Россию виновной в произошедшем инциденте и снял с нее обвинение в "порочащих моряков действиях", поскольку счел опасность нападения японских миноносцев вполне реальной. Надо сказать, что во всей этой истории, которую в отечественной литературе называют "Гульским инцидентом", до сих пор нет полной ясности. Русские моряки утверждали, что огонь был открыт по четырехтрубному миноносцу, а рыболовные суда, как и некоторые корабли самой русской эскадры, пострадали от перелетов. Существует точка зрения, согласно которой чужой миноносец действительно был у Доггер-банки. Разумеется, эта был не японский корабль, хотя японцы и прилагали усилия к тому, чтобы купить несколько кораблей у нейтральных стран и сформировать диверсионное соединение в европейских водах. Вероятнее всего миноносец принадлежал Германии и сблизился с эскадрой он безо всякого злого умысла. Нервное состояние, в котором находились моряки, послужило причиной беспощадной стрельбы из артиллерии всех калибров, от главного до скорострельных пушек и пулеметов. Один или два корабля стреляли по миноносцу. Остальная же эскадра вела огонь по целям, которые существовали только в воображении комендоров. В результате этой пальбы и были потоплены рыбачьи суда. Человеческие жертвы имелись и на эскадре. Миноносец же, ставший невольной причиной гибели людей и серьезного международного инцидента, благополучно ушел. Понятно, что вмешивать себя в эту историю кайзеровское правительство не захотело, но, видимо, неофициально довело правду до сведения международного трибунала, что и объясняет необычайно мягкий вердикт.</w:t>
      </w:r>
    </w:p>
    <w:p w:rsidR="00760E50" w:rsidRDefault="00760E50">
      <w:pPr>
        <w:widowControl w:val="0"/>
        <w:spacing w:before="120"/>
        <w:ind w:firstLine="567"/>
        <w:jc w:val="both"/>
        <w:rPr>
          <w:color w:val="000000"/>
          <w:sz w:val="24"/>
          <w:szCs w:val="24"/>
        </w:rPr>
      </w:pPr>
      <w:r>
        <w:rPr>
          <w:color w:val="000000"/>
          <w:sz w:val="24"/>
          <w:szCs w:val="24"/>
        </w:rPr>
        <w:t>Первый отряд 3-й Тихоокеанской эскадры (2 эскадренных броненосца и 3 крейсера) отделилась, чтобы пройти через Суэцкий канал, тогда как 2-я Тихоокеанская эскадра должна была обогнуть мыс Доброй Надежды. Из-за постоянных проблем с ремонтом и отгрузкой угля в нейтральных портах продвижение русских проходило со многими осложнениями. Воссоединившись близ Мадагаскара, армада, теперь уже под общим командованием вице-адмирала Рожественского, двинулась через Индийский океан (13 марта). В бухте Камраньво Французском Индокитае (юго-восток совр. Вьетнама) была сделана одна длительная остановка, во время которой русские готовились к предстоящему сражению.</w:t>
      </w:r>
    </w:p>
    <w:p w:rsidR="00760E50" w:rsidRDefault="00760E50">
      <w:pPr>
        <w:widowControl w:val="0"/>
        <w:spacing w:before="120"/>
        <w:ind w:firstLine="567"/>
        <w:jc w:val="both"/>
        <w:rPr>
          <w:color w:val="000000"/>
          <w:sz w:val="24"/>
          <w:szCs w:val="24"/>
        </w:rPr>
      </w:pPr>
      <w:r>
        <w:rPr>
          <w:color w:val="000000"/>
          <w:sz w:val="24"/>
          <w:szCs w:val="24"/>
        </w:rPr>
        <w:t>В этот период Рожественский старался намеками убедить высшее руководство в Петербурге в необходимости заключить мир, имея на руках такой козырь как сильная эскадра, которая, несмотря на противодействие всего мира, прошла более 15 тысяч морских миль и прибыла на театр военных действий. Однако ему было приказано следовать во Владивосток. Подчиняясь приказам армада взяла курс на Владивосток и в сопровождении угольщиков и судов снабжения двинулась на север (14 мая). Когда флот Рожественского подошел к Цусимскому проливу (или, иначе, Восточному проходу, или проходу Крузенштерна в Корейском проливе), он насчитывал 8 эскадренных броненосцев, 8 крейсеров, 9 эсминцев и несколько кораблей классом ниже. Будучи внушительными на бумаге, эти силы на самом деле представляли собой конгломерат отживающих свой век или устаревших кораблей, чьи экипажи выучкой (и прежде всего - артиллеристов), дисциплиной и качеством командования уступали ожидавшему их флоту вице-адмирала Хэйхатиро Того, который состоял из 4 эскадренных броненосцев, 8 крейсеров, 21 эсминца и 60 малых миноносцев.</w:t>
      </w:r>
    </w:p>
    <w:p w:rsidR="00760E50" w:rsidRDefault="00760E50">
      <w:pPr>
        <w:widowControl w:val="0"/>
        <w:spacing w:before="120"/>
        <w:ind w:firstLine="567"/>
        <w:jc w:val="both"/>
        <w:rPr>
          <w:color w:val="000000"/>
          <w:sz w:val="24"/>
          <w:szCs w:val="24"/>
        </w:rPr>
      </w:pPr>
      <w:r>
        <w:rPr>
          <w:rStyle w:val="a3"/>
          <w:b w:val="0"/>
          <w:bCs w:val="0"/>
          <w:color w:val="000000"/>
          <w:sz w:val="24"/>
          <w:szCs w:val="24"/>
        </w:rPr>
        <w:t xml:space="preserve">27 мая 1905 г. </w:t>
      </w:r>
      <w:r>
        <w:rPr>
          <w:color w:val="000000"/>
          <w:sz w:val="24"/>
          <w:szCs w:val="24"/>
        </w:rPr>
        <w:t>ЦУСИМСКОЕ СРАЖЕНИЕ. Флот вице-адмирала Зиновия Петровича Рожественского вошел в пролив развернутым строем. С северо-запада похожим строем подходил японский флот под командованием вице-адмирала Хэйхатиро Того. Оба адмирала возглавляли ядра своих сил - Рожественский на эскадренном броненосце "Князь Суворов", а Того - на эскадренном броненосце "Миказа".</w:t>
      </w:r>
    </w:p>
    <w:p w:rsidR="00760E50" w:rsidRDefault="00760E50">
      <w:pPr>
        <w:widowControl w:val="0"/>
        <w:spacing w:before="120"/>
        <w:ind w:firstLine="567"/>
        <w:jc w:val="both"/>
        <w:rPr>
          <w:color w:val="000000"/>
          <w:sz w:val="24"/>
          <w:szCs w:val="24"/>
        </w:rPr>
      </w:pPr>
      <w:r>
        <w:rPr>
          <w:rStyle w:val="a5"/>
          <w:i w:val="0"/>
          <w:iCs w:val="0"/>
          <w:color w:val="000000"/>
          <w:sz w:val="24"/>
          <w:szCs w:val="24"/>
        </w:rPr>
        <w:t>"Миказа" - спущенный на воду в ноябре 1900 года, этот эскадренный броненосец был последним, построенным в рамках японской кораблестроительной программы 1896 года. Будучи флагманским кораблем адмирала Того, участвовал во всех крупных морских сражениях русско-японской войны, но в конце 1905 года из-за взрыва боеприпасов в погребе затонул в гавани Сасебо. Поднятый и отремонтированный в 1907 году, он вернулся в строй, а в 1921 году был переквалифицирован в броненосец береговой обороны, в каковом качестве и прослужил вплоть до 1923 года, когда сел на мель и из-за полученных повреждений был исключен из состава ВМФ. В настоящее время - корабль-музей, последний сохранившийся броненосец своего времени. Водоизмещение-15 тысяч 442 т: длина-131,7 м, ширина в миделе-23,2 м, осадка-8,2 м: силовая установка - двухвальная, вертикальные паровые машины тройного расширения: максимальная скорость-18 уз: вооружение - четыре 305-мм и четырнадцать 152-мм орудий.</w:t>
      </w:r>
    </w:p>
    <w:p w:rsidR="00760E50" w:rsidRDefault="00760E50">
      <w:pPr>
        <w:widowControl w:val="0"/>
        <w:spacing w:before="120"/>
        <w:ind w:firstLine="567"/>
        <w:jc w:val="both"/>
        <w:rPr>
          <w:color w:val="000000"/>
          <w:sz w:val="24"/>
          <w:szCs w:val="24"/>
        </w:rPr>
      </w:pPr>
      <w:r>
        <w:rPr>
          <w:color w:val="000000"/>
          <w:sz w:val="24"/>
          <w:szCs w:val="24"/>
        </w:rPr>
        <w:t>Надеясь воспользоваться превосходством в скорости и рассечь Т-образный строй русских, японцы повернули к северо-востоку. Чтобы не попасть под обстрел продольным огнем, адмирал Рожественский сменил курс на северо-восточный, а затем на восточный. Сражение началось вскоре после полудня, когда флоты отстояли друг от друга приблизительно на 6 км. На скорости в 15 узлов флот адмирала Того обогнал идущих на 9 узлах русских и менее чем за 2 часа вывел из строя крейсер и два броненосца. Он блестяще маневрировал своими значительно более быстроходными силами вокруг несчастных русских, чьи потери стремительно росли. К наступлению ночи адмирал Рожественский был ранен, 3 броненосца (включая его флагман) были потоплены, а уцелевшие русские корабли - теперь во главе с адмиралом Небогатовым-в смятении бежали. В ночную погоню за истощенными русскими силами адмирал Того отправил броненосные крейсеры адмирала Камимуры, а также отряд миноносцев. На следующий день разгром завершился. Одному крейсеру и двум эсминцам удалось прорваться и достигнуть Владивостока; 3 эсминца добрались до Манилы и были интернированы. Оставшаяся часть русского флота попала в плен или была потоплена. Японцы потеряли 3 миноносца. Жертвы русских достигли 10 тысяч человек (совокупно убитыми и ранеными); японские же потери не достигли и 1 тысячи человек.</w:t>
      </w:r>
    </w:p>
    <w:p w:rsidR="00760E50" w:rsidRDefault="00760E50">
      <w:pPr>
        <w:widowControl w:val="0"/>
        <w:spacing w:before="120"/>
        <w:ind w:firstLine="567"/>
        <w:jc w:val="both"/>
        <w:rPr>
          <w:color w:val="000000"/>
          <w:sz w:val="24"/>
          <w:szCs w:val="24"/>
        </w:rPr>
      </w:pPr>
      <w:r>
        <w:rPr>
          <w:rStyle w:val="a3"/>
          <w:b w:val="0"/>
          <w:bCs w:val="0"/>
          <w:color w:val="000000"/>
          <w:sz w:val="24"/>
          <w:szCs w:val="24"/>
        </w:rPr>
        <w:t xml:space="preserve">Немного подробнее о Цусимском сражении. </w:t>
      </w:r>
      <w:r>
        <w:rPr>
          <w:color w:val="000000"/>
          <w:sz w:val="24"/>
          <w:szCs w:val="24"/>
        </w:rPr>
        <w:t>Поскольку к этому времени 1-я Тихоокеанская эскадра, блокированная японцами в Порт-Артуре, уже прекратила существование. Поэтому перед вице-адмиралом З.П. Рожественским встала одна задача - прорваться во Владивосток. Для прорыва был выбран кратчайший путь через Корейский пролив, т.е. в непосредственной близости от главных баз противника. В 120 (222 км) милях к югу от корейского порта Мозампо была развернута цепь японских дозорных крейсеров. Шедший в походном строю флот вице-адмирала Рожественского 14 мая в 4 ч. 25 мин. был впервые обнаружен японским вспомогательным крейсером "Синано-мару". В 6 ч. 30 мин. японский крейсер "Идзумо" занял место для наблюдения в 40-50 кабельтовых на правом траверзе русского флота. В 7 ч. 00 мин. вице-адмирал Рожественский перестроил свои главные силы в одну кильватерную колонну.</w:t>
      </w:r>
    </w:p>
    <w:p w:rsidR="00760E50" w:rsidRDefault="00760E50">
      <w:pPr>
        <w:widowControl w:val="0"/>
        <w:spacing w:before="120"/>
        <w:ind w:firstLine="567"/>
        <w:jc w:val="both"/>
        <w:rPr>
          <w:color w:val="000000"/>
          <w:sz w:val="24"/>
          <w:szCs w:val="24"/>
        </w:rPr>
      </w:pPr>
      <w:r>
        <w:rPr>
          <w:color w:val="000000"/>
          <w:sz w:val="24"/>
          <w:szCs w:val="24"/>
        </w:rPr>
        <w:t>В 12 ч. 00 мин. русский флот лег на курс NO 23Ь (на Владивосток) и по не вполне ясным причинам перестроился в две колонны. Главные силы японцев, державшиеся севернее острова Окиносими, подошли в 13 ч. 30 мин. с юго-запада. Русские корабли вновь перестроились в одну колонну. Применив отработанный еще во время войны с Китаем маневр охвата головы колонны противника и сосредоточения всего огня на его головном корабле, главные силы японского флота пересекли курс русских и вышли на левую от них сторону, ложась сперва на встречный курс русского флота, и затем еще влево ни сходящийся курс. Вице-адмирал Того поднял сигнал: "Судьба империи зависит от этого боя". Японские крейсерские отряды пошли ни юг с целью атаки русских крейсеров и транспортов. Эскадренный броненосец "Князь Суворов" (командир-капитан I ранга В.В. Игнициус) в 13 ч. 49 мин. с расстояния в 38 кабельтовых открыл огонь по "Миказе". Сократив дистанцию до 35 кабельтовых, в 13 ч. 52 мин. "Миказа", а затем и остальные японские корабли начали отвечать, сосредоточив огонь на "Князе Суворове" и "Ослябе" (командир-капитан I ранга В.И. Бэр). В 14 ч. 30 мин. "Князь Суворов" с заклиненным рулем под сильным огнем противники вышел из строя, а в 14 ч. 50 мин. "Осляба" затонул, получив несколько пробоин в носовой части около ватерлинии в небронированном борту. Линию повел эскадренный броненосец "Император Александр III" (командир-капитан I ранга Н.М. Бухвостов), склоняясь к востоку. Фактически проиграв первую фазу сражения, русский флот полностью утратил инициативу и, ведомый поочередно "Императором Александром III" и эскадренным броненосцем "Бородино" (командир-капитан I ранга П.И. Серебренников), малоуспешно маневрировал, пытаясь выйти из сферы действия огня японской артиллерии. Русский флот фактически остался без командования: раненный вице-адмирала Рожественский вместе со штабом был снят с пылающего "Князя Суворова" в 17 ч. 30 мин. миноносцем "Буйный" (командир-капитан II ранга Н.Н. Коломейцев). Контр-адмирала Н.И. Небогатов так и не смог осуществить командования разрозненными частями флота. В 18 ч. 50 мин. погиб "Император Александр III", в 19 ч. 00 мин. - "Князь Суворов", в 19 ч. 10 мин. - "Бородино", с которого спасся только один матрос. С наступлением темноты вице-адмирал Хэйхатиро Того отвел главные силы к острову Дажелет и бросил в бой миноносцы. В ночном бою русский флот потерял эскадренный броненосец "Наварин" (командир-капитан I ранга Б.А. Фитингоф): в свою очередь, русские корабли потопили 2 и повредили 12 японских миноносцев.</w:t>
      </w:r>
    </w:p>
    <w:p w:rsidR="00760E50" w:rsidRDefault="00760E50">
      <w:pPr>
        <w:widowControl w:val="0"/>
        <w:spacing w:before="120"/>
        <w:ind w:firstLine="567"/>
        <w:jc w:val="both"/>
        <w:rPr>
          <w:color w:val="000000"/>
          <w:sz w:val="24"/>
          <w:szCs w:val="24"/>
        </w:rPr>
      </w:pPr>
      <w:r>
        <w:rPr>
          <w:color w:val="000000"/>
          <w:sz w:val="24"/>
          <w:szCs w:val="24"/>
        </w:rPr>
        <w:t>Утром 15 мая команды затопили свои корабли: тяжело поврежденный эскадренный броненосец "Сисой Великий" (командир-капитан I ранга М.В. Озеров), крейсеры "Владимир Мономах" (командир-капитан I ранга В.А. Попов) и "Адмирал Нахимов" (командир-капитан I ранга А.А. Родионов). В 8 ч. 00 мин. героически погиб крейсер "Дмитрий Донской" (командир-капитан I ранга И.Н. Лебедев). в 11 ч. 06 мин .- крейсер "Светлана" (командир-капитан I ранга С. П. Шеин), в 17 ч. 00 мин. - броненосец береговой обороны "Адмирал Ушаков" (командир-капитан I ранга В.Н. Миклуха). Крейсеры "Олег" (командир-капитан I ранга Л.Ф. Добровольский, флаг контр-адмирала О.А. Энквиста), "Аврора" (командир-капитан I ранга Е.Р. Егорьев, пал в бою), "Жемчуг" (командир-капитан II ранга П.П. Левицкий) прорвались в Манилу. Миноносец "Бодрый" (командир-капитан II ранга П.В. Иванов) ушел в Шанхай. Во Владивосток прорвались только крейсер "Алмаз" (командир-капитан II ранга И.И. Чагин), миноносцы "Бравый" (командир-лейтенант П.П. Дурново) и "Грозный" (командир-капитан II ранга К.К. Андржеевский). В 10 ч 15 мин. 15 мая остатки русского флота под командованием контр-адмирала Н.И. Небогатова (эскадренные броненосцы "Орел", "Император Николай I", броненосцы береговой обороны "Адмирал Сенявин", "Генерал-адмирал Апраксин", крейсер "Изумруд") были окружены превосходящими силами противника. Несмотря на готовность русских кораблей к сопротивлению, адмирал Небогатов отдал приказ о сдаче. Приказу не подчинился только крейсер "Изумруд" (командир-капитан II ранга В.Н. Ферзен), который прорвал строй японских кораблей и ушел, но 17 мая погиб на камнях в бухте Владимир. Миноносец "Бедовый" (командир-капитан II ранга Н.В. Баранов), куда с "Буйного" перешел раненый вице-адмирал З.П. Рожественский вместе со штабом, был захвачен японцами в 16 ч. 00 мин. 15 мая в районе острова Дажелет. Это трагическое поражение русского флота оказало решающее влияние на исход войны. Впоследствии адмиралы З.П. Рожественский и Н.И. Небогатов предстали перед военно-морским судом. Рожественский, которому вменялась в вину только сдача противнику миноносца "Бедовый", был оправдан ввиду героического поведения в бою, личного мужества и тяжелого ранения. Небогатов, которому инкриминировалась сдача остатков обеих эскадр, был признан виновным и приговорен к смертной казни, замененной десятью годами заточения в крепости. В 1909 году, как и сдавший японцам Порт-Артур генерал-лейтенант А.М. Стессель, контр-адмирал Н.И. Небогатов был освобожден.</w:t>
      </w:r>
    </w:p>
    <w:p w:rsidR="00760E50" w:rsidRDefault="00760E50">
      <w:pPr>
        <w:widowControl w:val="0"/>
        <w:spacing w:before="120"/>
        <w:jc w:val="center"/>
        <w:rPr>
          <w:b/>
          <w:bCs/>
          <w:color w:val="000000"/>
          <w:sz w:val="28"/>
          <w:szCs w:val="28"/>
        </w:rPr>
      </w:pPr>
      <w:r>
        <w:rPr>
          <w:b/>
          <w:bCs/>
          <w:color w:val="000000"/>
          <w:sz w:val="28"/>
          <w:szCs w:val="28"/>
        </w:rPr>
        <w:t>Небольшое рассуждение по поводу цусимского сражения</w:t>
      </w:r>
    </w:p>
    <w:p w:rsidR="00760E50" w:rsidRDefault="00760E50">
      <w:pPr>
        <w:widowControl w:val="0"/>
        <w:spacing w:before="120"/>
        <w:ind w:firstLine="567"/>
        <w:jc w:val="both"/>
        <w:rPr>
          <w:color w:val="000000"/>
          <w:sz w:val="24"/>
          <w:szCs w:val="24"/>
        </w:rPr>
      </w:pPr>
      <w:r>
        <w:rPr>
          <w:color w:val="000000"/>
          <w:sz w:val="24"/>
          <w:szCs w:val="24"/>
        </w:rPr>
        <w:t>Цусимское сражение, оказавшее огромное влияние на военно-морское искусство XX столетия, требует серьезного анализа. Начнем этот анализ с 23 мая, дня последней угольной погрузки на русской эскадре. В этот день Рожественскому предстояло принять решение о маршруте прорыва во Владивосток. Русская эскадра имела следующий состав: 1-й броненосный отряд (З.П. Рожественский): ЭБР "Князь Суворов", "Александр III", "Бородино", "Орел" - новейшие корабли, вступившие в строй уже во время войны. Корабли этого отряда были построены по очень удачному проекту и считались одними из сильнейших броненосцев в мире.</w:t>
      </w:r>
    </w:p>
    <w:p w:rsidR="00760E50" w:rsidRDefault="00760E50">
      <w:pPr>
        <w:widowControl w:val="0"/>
        <w:spacing w:before="120"/>
        <w:ind w:firstLine="567"/>
        <w:jc w:val="both"/>
        <w:rPr>
          <w:color w:val="000000"/>
          <w:sz w:val="24"/>
          <w:szCs w:val="24"/>
        </w:rPr>
      </w:pPr>
      <w:r>
        <w:rPr>
          <w:color w:val="000000"/>
          <w:sz w:val="24"/>
          <w:szCs w:val="24"/>
        </w:rPr>
        <w:t>2-й броненосный отряд (Фалькерзам): ЭБР "Ослябя", "Сисой Великий", "Наварин". "Ослябя"-облегченный броненосец крейсерского типа с 254-мм орудиями. Остальные два броненосца устарели. Орудия "Наварина" стреляли дымным порохом.</w:t>
      </w:r>
    </w:p>
    <w:p w:rsidR="00760E50" w:rsidRDefault="00760E50">
      <w:pPr>
        <w:widowControl w:val="0"/>
        <w:spacing w:before="120"/>
        <w:ind w:firstLine="567"/>
        <w:jc w:val="both"/>
        <w:rPr>
          <w:color w:val="000000"/>
          <w:sz w:val="24"/>
          <w:szCs w:val="24"/>
        </w:rPr>
      </w:pPr>
      <w:r>
        <w:rPr>
          <w:color w:val="000000"/>
          <w:sz w:val="24"/>
          <w:szCs w:val="24"/>
        </w:rPr>
        <w:t>3-й броненосный отряд (Н.И. Небогатов): ЭБР "Император Николай I", БРБО "Генерал-адмирал Апраксин", "Адмирал Сенявин", "Адмирал Ушаков" - корабли устарели (БРБО еще во время проектирования) и не представляли собой никакой боевой ценности.</w:t>
      </w:r>
    </w:p>
    <w:p w:rsidR="00760E50" w:rsidRDefault="00760E50">
      <w:pPr>
        <w:widowControl w:val="0"/>
        <w:spacing w:before="120"/>
        <w:ind w:firstLine="567"/>
        <w:jc w:val="both"/>
        <w:rPr>
          <w:color w:val="000000"/>
          <w:sz w:val="24"/>
          <w:szCs w:val="24"/>
        </w:rPr>
      </w:pPr>
      <w:r>
        <w:rPr>
          <w:color w:val="000000"/>
          <w:sz w:val="24"/>
          <w:szCs w:val="24"/>
        </w:rPr>
        <w:t>1-й отряд крейсеров (О.А. Энквист): "Олег", "Адмирал Нахимов", "Аврора", "Владимир Мономах" и "Дмитрий Донской". Очень разнородный отряд. "Олег" и "Аврора" - универсальные бронепалубные крейсера для действий на коммуникациях. Остальные три корабля были броненосными крейсерами, некогда (лет 20 назад) лучшими в своем классе. Сейчас все они безнадежно устарели.</w:t>
      </w:r>
    </w:p>
    <w:p w:rsidR="00760E50" w:rsidRDefault="00760E50">
      <w:pPr>
        <w:widowControl w:val="0"/>
        <w:spacing w:before="120"/>
        <w:ind w:firstLine="567"/>
        <w:jc w:val="both"/>
        <w:rPr>
          <w:color w:val="000000"/>
          <w:sz w:val="24"/>
          <w:szCs w:val="24"/>
        </w:rPr>
      </w:pPr>
      <w:r>
        <w:rPr>
          <w:color w:val="000000"/>
          <w:sz w:val="24"/>
          <w:szCs w:val="24"/>
        </w:rPr>
        <w:t>2-й отряд крейсеров (С.П. Шеин): "Светлана", "Алмаз", "Жемчуг", "Изумруд", "Урал". Реальную ценность представляют собой "Изумруд" и "Жемчуг" - быстроходные крейсера-разведчики. "Урал" переоборудованный из коммерческого парохода, "Алмаз" и "Светлана" - бывшие вооруженные яхты.</w:t>
      </w:r>
    </w:p>
    <w:p w:rsidR="00760E50" w:rsidRDefault="00760E50">
      <w:pPr>
        <w:widowControl w:val="0"/>
        <w:spacing w:before="120"/>
        <w:ind w:firstLine="567"/>
        <w:jc w:val="both"/>
        <w:rPr>
          <w:color w:val="000000"/>
          <w:sz w:val="24"/>
          <w:szCs w:val="24"/>
        </w:rPr>
      </w:pPr>
      <w:r>
        <w:rPr>
          <w:color w:val="000000"/>
          <w:sz w:val="24"/>
          <w:szCs w:val="24"/>
        </w:rPr>
        <w:t>9 эскадренных миноносцев, 8 судов специального назначения (транспорта, плавмастерская, госпитальные суда), 26 угольщиков.</w:t>
      </w:r>
    </w:p>
    <w:p w:rsidR="00760E50" w:rsidRDefault="00760E50">
      <w:pPr>
        <w:widowControl w:val="0"/>
        <w:spacing w:before="120"/>
        <w:ind w:firstLine="567"/>
        <w:jc w:val="both"/>
        <w:rPr>
          <w:color w:val="000000"/>
          <w:sz w:val="24"/>
          <w:szCs w:val="24"/>
        </w:rPr>
      </w:pPr>
      <w:r>
        <w:rPr>
          <w:color w:val="000000"/>
          <w:sz w:val="24"/>
          <w:szCs w:val="24"/>
        </w:rPr>
        <w:t>Всего 30 боевых кораблей общим водоизмещением 210 тысяч тонн с экипажем в 12 тысяч человек и 8 вспомогательных судов водоизмещением в 52 тысячи 500 тонн и экипажем 2 тысячи человек. Состав японского флота: 1-я эскадра (Того)</w:t>
      </w:r>
    </w:p>
    <w:p w:rsidR="00760E50" w:rsidRDefault="00760E50">
      <w:pPr>
        <w:widowControl w:val="0"/>
        <w:spacing w:before="120"/>
        <w:ind w:firstLine="567"/>
        <w:jc w:val="both"/>
        <w:rPr>
          <w:color w:val="000000"/>
          <w:sz w:val="24"/>
          <w:szCs w:val="24"/>
        </w:rPr>
      </w:pPr>
      <w:r>
        <w:rPr>
          <w:color w:val="000000"/>
          <w:sz w:val="24"/>
          <w:szCs w:val="24"/>
        </w:rPr>
        <w:t>1-я дивизия (Нашива): БРЭ "Миказа", "Асахи", "Фудзи", "Сикисима", КРБ "Ниссин", "Кассуга". Первые четыре-ядро японского флота, новые броненосцы. "Ниссин" и "Кассуга"-южноамериканские крейсера, поставленные в боевую линию после гибели "Ясимы" и "Хатсузе".</w:t>
      </w:r>
    </w:p>
    <w:p w:rsidR="00760E50" w:rsidRDefault="00760E50">
      <w:pPr>
        <w:widowControl w:val="0"/>
        <w:spacing w:before="120"/>
        <w:ind w:firstLine="567"/>
        <w:jc w:val="both"/>
        <w:rPr>
          <w:color w:val="000000"/>
          <w:sz w:val="24"/>
          <w:szCs w:val="24"/>
        </w:rPr>
      </w:pPr>
      <w:r>
        <w:rPr>
          <w:color w:val="000000"/>
          <w:sz w:val="24"/>
          <w:szCs w:val="24"/>
        </w:rPr>
        <w:t>2-я дивизия (Дева): КРБ "Якумо", "Асама", КРЛ "Читосе", "Касаги"-два новых сильных броненосных крейсера в сопровождении крейсеров прикрытия. 2-я эскадра (Камимура)</w:t>
      </w:r>
    </w:p>
    <w:p w:rsidR="00760E50" w:rsidRDefault="00760E50">
      <w:pPr>
        <w:widowControl w:val="0"/>
        <w:spacing w:before="120"/>
        <w:ind w:firstLine="567"/>
        <w:jc w:val="both"/>
        <w:rPr>
          <w:color w:val="000000"/>
          <w:sz w:val="24"/>
          <w:szCs w:val="24"/>
        </w:rPr>
      </w:pPr>
      <w:r>
        <w:rPr>
          <w:color w:val="000000"/>
          <w:sz w:val="24"/>
          <w:szCs w:val="24"/>
        </w:rPr>
        <w:t>3-я дивизия (Мизу): КРБ "Идзумо", "Адзума", "Ивате"-ядро "летучей эскадры"-три однотипных броненосных крейсера.</w:t>
      </w:r>
    </w:p>
    <w:p w:rsidR="00760E50" w:rsidRDefault="00760E50">
      <w:pPr>
        <w:widowControl w:val="0"/>
        <w:spacing w:before="120"/>
        <w:ind w:firstLine="567"/>
        <w:jc w:val="both"/>
        <w:rPr>
          <w:color w:val="000000"/>
          <w:sz w:val="24"/>
          <w:szCs w:val="24"/>
        </w:rPr>
      </w:pPr>
      <w:r>
        <w:rPr>
          <w:color w:val="000000"/>
          <w:sz w:val="24"/>
          <w:szCs w:val="24"/>
        </w:rPr>
        <w:t>4-я дивизия (Уриу): КРБ "Токива", КРЛ "Нанива", "Такошико", "Нутака", "Цусима"-броненосный крейсер типа "Асама" в сопровождении легких сил.</w:t>
      </w:r>
    </w:p>
    <w:p w:rsidR="00760E50" w:rsidRDefault="00760E50">
      <w:pPr>
        <w:widowControl w:val="0"/>
        <w:spacing w:before="120"/>
        <w:ind w:firstLine="567"/>
        <w:jc w:val="both"/>
        <w:rPr>
          <w:color w:val="000000"/>
          <w:sz w:val="24"/>
          <w:szCs w:val="24"/>
        </w:rPr>
      </w:pPr>
      <w:r>
        <w:rPr>
          <w:color w:val="000000"/>
          <w:sz w:val="24"/>
          <w:szCs w:val="24"/>
        </w:rPr>
        <w:t>3-я эскадра (Катаока)</w:t>
      </w:r>
    </w:p>
    <w:p w:rsidR="00760E50" w:rsidRDefault="00760E50">
      <w:pPr>
        <w:widowControl w:val="0"/>
        <w:spacing w:before="120"/>
        <w:ind w:firstLine="567"/>
        <w:jc w:val="both"/>
        <w:rPr>
          <w:color w:val="000000"/>
          <w:sz w:val="24"/>
          <w:szCs w:val="24"/>
        </w:rPr>
      </w:pPr>
      <w:r>
        <w:rPr>
          <w:color w:val="000000"/>
          <w:sz w:val="24"/>
          <w:szCs w:val="24"/>
        </w:rPr>
        <w:t>5-я дивизия (Катаока): БРЭ "Чин-Иен", КРБ "Хошидате", "Итсукушима", "Матсушима"-устарелые корабли, ветераны японо-китайской войны.</w:t>
      </w:r>
    </w:p>
    <w:p w:rsidR="00760E50" w:rsidRDefault="00760E50">
      <w:pPr>
        <w:widowControl w:val="0"/>
        <w:spacing w:before="120"/>
        <w:ind w:firstLine="567"/>
        <w:jc w:val="both"/>
        <w:rPr>
          <w:color w:val="000000"/>
          <w:sz w:val="24"/>
          <w:szCs w:val="24"/>
        </w:rPr>
      </w:pPr>
      <w:r>
        <w:rPr>
          <w:color w:val="000000"/>
          <w:sz w:val="24"/>
          <w:szCs w:val="24"/>
        </w:rPr>
        <w:t>6-я дивизия (Ямада): КРЛ "Акитсушима", "Акаши", "Зума", "Отава", "Чийода", "Идзуми"-ядро крейсерских сил флота.</w:t>
      </w:r>
    </w:p>
    <w:p w:rsidR="00760E50" w:rsidRDefault="00760E50">
      <w:pPr>
        <w:widowControl w:val="0"/>
        <w:spacing w:before="120"/>
        <w:ind w:firstLine="567"/>
        <w:jc w:val="both"/>
        <w:rPr>
          <w:color w:val="000000"/>
          <w:sz w:val="24"/>
          <w:szCs w:val="24"/>
        </w:rPr>
      </w:pPr>
      <w:r>
        <w:rPr>
          <w:color w:val="000000"/>
          <w:sz w:val="24"/>
          <w:szCs w:val="24"/>
        </w:rPr>
        <w:t>7-я дивизия (Хосоя) О БРЭ "Фусо"-имеет историческую ценность.</w:t>
      </w:r>
    </w:p>
    <w:p w:rsidR="00760E50" w:rsidRDefault="00760E50">
      <w:pPr>
        <w:widowControl w:val="0"/>
        <w:spacing w:before="120"/>
        <w:ind w:firstLine="567"/>
        <w:jc w:val="both"/>
        <w:rPr>
          <w:color w:val="000000"/>
          <w:sz w:val="24"/>
          <w:szCs w:val="24"/>
        </w:rPr>
      </w:pPr>
      <w:r>
        <w:rPr>
          <w:color w:val="000000"/>
          <w:sz w:val="24"/>
          <w:szCs w:val="24"/>
        </w:rPr>
        <w:t>17 эсминцев, 18 миноносцев первого класса, 40-второго, 27-третьего, 4 вспомогательных крейсера.</w:t>
      </w:r>
    </w:p>
    <w:p w:rsidR="00760E50" w:rsidRDefault="00760E50">
      <w:pPr>
        <w:widowControl w:val="0"/>
        <w:spacing w:before="120"/>
        <w:ind w:firstLine="567"/>
        <w:jc w:val="both"/>
        <w:rPr>
          <w:color w:val="000000"/>
          <w:sz w:val="24"/>
          <w:szCs w:val="24"/>
        </w:rPr>
      </w:pPr>
      <w:r>
        <w:rPr>
          <w:color w:val="000000"/>
          <w:sz w:val="24"/>
          <w:szCs w:val="24"/>
        </w:rPr>
        <w:t>Всего 140 кораблей общим водоизмещением 250 тысяч тонн и экипажем в 18 тысяч человек.</w:t>
      </w:r>
    </w:p>
    <w:p w:rsidR="00760E50" w:rsidRDefault="00760E50">
      <w:pPr>
        <w:widowControl w:val="0"/>
        <w:spacing w:before="120"/>
        <w:ind w:firstLine="567"/>
        <w:jc w:val="both"/>
        <w:rPr>
          <w:color w:val="000000"/>
          <w:sz w:val="24"/>
          <w:szCs w:val="24"/>
        </w:rPr>
      </w:pPr>
      <w:r>
        <w:rPr>
          <w:color w:val="000000"/>
          <w:sz w:val="24"/>
          <w:szCs w:val="24"/>
        </w:rPr>
        <w:t>Таким образом, русская боевая линия превосходит японскую по крупному калибру, значительно уступает ей в среднем калибре. В целом, возможности ударных сил эскадр сравнимы. Однако японская эскадра имеет резерв из 2 старых (китайских) броненосцев "Фусо" и "Чин-Иен" и 3 старых броненосных крейсеров типа "Мацусима". Боеспособность этих кораблей ни в коем случае нельзя преувеличивать, тем не менее приходится помнить о том, что русские суда аналогичного возраста и класса (три БРБО серии "Адмирал Ушаков", КРБ "Адмирал Нахимов", устаревшие броненосцы со старой артиллерией "Наварит и "Император Николай I") включены в боевую линию.</w:t>
      </w:r>
    </w:p>
    <w:p w:rsidR="00760E50" w:rsidRDefault="00760E50">
      <w:pPr>
        <w:widowControl w:val="0"/>
        <w:spacing w:before="120"/>
        <w:ind w:firstLine="567"/>
        <w:jc w:val="both"/>
        <w:rPr>
          <w:color w:val="000000"/>
          <w:sz w:val="24"/>
          <w:szCs w:val="24"/>
        </w:rPr>
      </w:pPr>
      <w:r>
        <w:rPr>
          <w:color w:val="000000"/>
          <w:sz w:val="24"/>
          <w:szCs w:val="24"/>
        </w:rPr>
        <w:t>Таблица . Русская и японская эскадры перед Цусимским сражением</w:t>
      </w:r>
    </w:p>
    <w:tbl>
      <w:tblPr>
        <w:tblW w:w="9375" w:type="dxa"/>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687"/>
        <w:gridCol w:w="4688"/>
      </w:tblGrid>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Русская эскадра</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Японская эскадра</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ЭБР-8</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ЭБР-4</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БРБО - 3</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КРБ-1 (в боевой линии)</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КРБ-8</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Кораблей в линии баталии-12</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Кораблей в боевой линии-12</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12" орудий - 26</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12" орудий-16</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10" орудий-15</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10" орудий-1</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9" орудий-4</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9" орудий - 22</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Итого орудий крупного калибра-45</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Итого орудий крупного калибра-39</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Приведенный импульс: 62.844</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Приведенный импульс: 44.686</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8" орудий-8</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8" орудий -147</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6" орудий-91 (в боевой линии)</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6" орудий-0</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Итого орудий среднего калибра-99</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Итого орудий среднего калибра-147</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Приведенный импульс-23.752</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Приведенный импульс-75.264</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Эскадренная скорость-14</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Эскадренная скорость-18</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Вне боевой линии - Р-8, ЭМ -9</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Вне боевой линии - Р-12, ЭМ-20</w:t>
            </w:r>
          </w:p>
        </w:tc>
      </w:tr>
      <w:tr w:rsidR="00760E50">
        <w:trPr>
          <w:tblCellSpacing w:w="7" w:type="dxa"/>
        </w:trPr>
        <w:tc>
          <w:tcPr>
            <w:tcW w:w="2500" w:type="pct"/>
            <w:tcBorders>
              <w:top w:val="outset" w:sz="6" w:space="0" w:color="auto"/>
              <w:bottom w:val="outset" w:sz="6" w:space="0" w:color="auto"/>
              <w:right w:val="outset" w:sz="6" w:space="0" w:color="auto"/>
            </w:tcBorders>
          </w:tcPr>
          <w:p w:rsidR="00760E50" w:rsidRDefault="00760E50">
            <w:pPr>
              <w:widowControl w:val="0"/>
              <w:jc w:val="both"/>
              <w:rPr>
                <w:sz w:val="24"/>
                <w:szCs w:val="24"/>
              </w:rPr>
            </w:pPr>
            <w:r>
              <w:rPr>
                <w:sz w:val="24"/>
                <w:szCs w:val="24"/>
              </w:rPr>
              <w:t>Вспомогательных судов, кораблей резерва-нет</w:t>
            </w:r>
          </w:p>
        </w:tc>
        <w:tc>
          <w:tcPr>
            <w:tcW w:w="2500" w:type="pct"/>
            <w:tcBorders>
              <w:top w:val="outset" w:sz="6" w:space="0" w:color="auto"/>
              <w:left w:val="outset" w:sz="6" w:space="0" w:color="auto"/>
              <w:bottom w:val="outset" w:sz="6" w:space="0" w:color="auto"/>
            </w:tcBorders>
          </w:tcPr>
          <w:p w:rsidR="00760E50" w:rsidRDefault="00760E50">
            <w:pPr>
              <w:widowControl w:val="0"/>
              <w:jc w:val="both"/>
              <w:rPr>
                <w:sz w:val="24"/>
                <w:szCs w:val="24"/>
              </w:rPr>
            </w:pPr>
            <w:r>
              <w:rPr>
                <w:sz w:val="24"/>
                <w:szCs w:val="24"/>
              </w:rPr>
              <w:t>Вспомогательных судов-28, кораблей резерва-5</w:t>
            </w:r>
          </w:p>
        </w:tc>
      </w:tr>
    </w:tbl>
    <w:p w:rsidR="00760E50" w:rsidRDefault="00760E50">
      <w:pPr>
        <w:widowControl w:val="0"/>
        <w:spacing w:before="120"/>
        <w:ind w:firstLine="567"/>
        <w:jc w:val="both"/>
        <w:rPr>
          <w:color w:val="000000"/>
          <w:sz w:val="24"/>
          <w:szCs w:val="24"/>
        </w:rPr>
      </w:pPr>
      <w:r>
        <w:rPr>
          <w:color w:val="000000"/>
          <w:sz w:val="24"/>
          <w:szCs w:val="24"/>
        </w:rPr>
        <w:t>Японские легкие и крейсерские силы превосходят русские вдвое. Вспомогательных кораблей русская эскадра не имеет вообще.</w:t>
      </w:r>
    </w:p>
    <w:p w:rsidR="00760E50" w:rsidRDefault="00760E50">
      <w:pPr>
        <w:widowControl w:val="0"/>
        <w:spacing w:before="120"/>
        <w:ind w:firstLine="567"/>
        <w:jc w:val="both"/>
        <w:rPr>
          <w:color w:val="000000"/>
          <w:sz w:val="24"/>
          <w:szCs w:val="24"/>
        </w:rPr>
      </w:pPr>
      <w:r>
        <w:rPr>
          <w:color w:val="000000"/>
          <w:sz w:val="24"/>
          <w:szCs w:val="24"/>
        </w:rPr>
        <w:t>Обстановка с точки зрения адмирала Рожественского могла характеризоваться следующим образом:</w:t>
      </w:r>
    </w:p>
    <w:p w:rsidR="00760E50" w:rsidRDefault="00760E50">
      <w:pPr>
        <w:widowControl w:val="0"/>
        <w:spacing w:before="120"/>
        <w:ind w:firstLine="567"/>
        <w:jc w:val="both"/>
        <w:rPr>
          <w:color w:val="000000"/>
          <w:sz w:val="24"/>
          <w:szCs w:val="24"/>
        </w:rPr>
      </w:pPr>
      <w:r>
        <w:rPr>
          <w:color w:val="000000"/>
          <w:sz w:val="24"/>
          <w:szCs w:val="24"/>
        </w:rPr>
        <w:t>-целью операции является скорейшее прибытие эскадры во Владивосток;</w:t>
      </w:r>
    </w:p>
    <w:p w:rsidR="00760E50" w:rsidRDefault="00760E50">
      <w:pPr>
        <w:widowControl w:val="0"/>
        <w:spacing w:before="120"/>
        <w:ind w:firstLine="567"/>
        <w:jc w:val="both"/>
        <w:rPr>
          <w:color w:val="000000"/>
          <w:sz w:val="24"/>
          <w:szCs w:val="24"/>
        </w:rPr>
      </w:pPr>
      <w:r>
        <w:rPr>
          <w:color w:val="000000"/>
          <w:sz w:val="24"/>
          <w:szCs w:val="24"/>
        </w:rPr>
        <w:t>-потери эскадры должны быть сведены к минимуму - бой с японским флотом нежелателен;</w:t>
      </w:r>
    </w:p>
    <w:p w:rsidR="00760E50" w:rsidRDefault="00760E50">
      <w:pPr>
        <w:widowControl w:val="0"/>
        <w:spacing w:before="120"/>
        <w:ind w:firstLine="567"/>
        <w:jc w:val="both"/>
        <w:rPr>
          <w:color w:val="000000"/>
          <w:sz w:val="24"/>
          <w:szCs w:val="24"/>
        </w:rPr>
      </w:pPr>
      <w:r>
        <w:rPr>
          <w:color w:val="000000"/>
          <w:sz w:val="24"/>
          <w:szCs w:val="24"/>
        </w:rPr>
        <w:t>-личный состав эскадры после непрерывного семимесячного похода в условиях, "приближенных к боевым", находится в состоянии крайнего утомления, корабли требуют ремонта;</w:t>
      </w:r>
    </w:p>
    <w:p w:rsidR="00760E50" w:rsidRDefault="00760E50">
      <w:pPr>
        <w:widowControl w:val="0"/>
        <w:spacing w:before="120"/>
        <w:ind w:firstLine="567"/>
        <w:jc w:val="both"/>
        <w:rPr>
          <w:color w:val="000000"/>
          <w:sz w:val="24"/>
          <w:szCs w:val="24"/>
        </w:rPr>
      </w:pPr>
      <w:r>
        <w:rPr>
          <w:color w:val="000000"/>
          <w:sz w:val="24"/>
          <w:szCs w:val="24"/>
        </w:rPr>
        <w:t>-боевая подготовка эскадры недостаточна:</w:t>
      </w:r>
    </w:p>
    <w:p w:rsidR="00760E50" w:rsidRDefault="00760E50">
      <w:pPr>
        <w:widowControl w:val="0"/>
        <w:spacing w:before="120"/>
        <w:ind w:firstLine="567"/>
        <w:jc w:val="both"/>
        <w:rPr>
          <w:color w:val="000000"/>
          <w:sz w:val="24"/>
          <w:szCs w:val="24"/>
        </w:rPr>
      </w:pPr>
      <w:r>
        <w:rPr>
          <w:color w:val="000000"/>
          <w:sz w:val="24"/>
          <w:szCs w:val="24"/>
        </w:rPr>
        <w:t>-русская эскадра превосходит эскадру противника по числу броненосцев, общее количество кораблей в боевой линии одинаково;</w:t>
      </w:r>
    </w:p>
    <w:p w:rsidR="00760E50" w:rsidRDefault="00760E50">
      <w:pPr>
        <w:widowControl w:val="0"/>
        <w:spacing w:before="120"/>
        <w:ind w:firstLine="567"/>
        <w:jc w:val="both"/>
        <w:rPr>
          <w:color w:val="000000"/>
          <w:sz w:val="24"/>
          <w:szCs w:val="24"/>
        </w:rPr>
      </w:pPr>
      <w:r>
        <w:rPr>
          <w:color w:val="000000"/>
          <w:sz w:val="24"/>
          <w:szCs w:val="24"/>
        </w:rPr>
        <w:t>-русская эскадра значительно уступает неприятельской по легким силам.</w:t>
      </w:r>
    </w:p>
    <w:p w:rsidR="00760E50" w:rsidRDefault="00760E50">
      <w:pPr>
        <w:widowControl w:val="0"/>
        <w:spacing w:before="120"/>
        <w:ind w:firstLine="567"/>
        <w:jc w:val="both"/>
        <w:rPr>
          <w:color w:val="000000"/>
          <w:sz w:val="24"/>
          <w:szCs w:val="24"/>
        </w:rPr>
      </w:pPr>
      <w:r>
        <w:rPr>
          <w:color w:val="000000"/>
          <w:sz w:val="24"/>
          <w:szCs w:val="24"/>
        </w:rPr>
        <w:t>Из этого следует, что если бой с японским флотом неизбежен, желательно принять его как можно дальше от японских военно-морских баз, чтобы лишить противника возможности использовать резерв, а также явное преимущество во вспомогательных силах флота.</w:t>
      </w:r>
    </w:p>
    <w:p w:rsidR="00760E50" w:rsidRDefault="00760E50">
      <w:pPr>
        <w:widowControl w:val="0"/>
        <w:spacing w:before="120"/>
        <w:ind w:firstLine="567"/>
        <w:jc w:val="both"/>
        <w:rPr>
          <w:color w:val="000000"/>
          <w:sz w:val="24"/>
          <w:szCs w:val="24"/>
        </w:rPr>
      </w:pPr>
      <w:r>
        <w:rPr>
          <w:color w:val="000000"/>
          <w:sz w:val="24"/>
          <w:szCs w:val="24"/>
        </w:rPr>
        <w:t>Следовательно, эскадра должна обойти Японию с востока и прорываться во Владивосток Курильскими проливами, либо, в крайнем случае, Лаперузовым проливом. Даже маршрут через Сангарский пролив приходится признать неприемлемым. Вариант же с Корейским проливом вообще не подлежит рассмотрению.</w:t>
      </w:r>
    </w:p>
    <w:p w:rsidR="00760E50" w:rsidRDefault="00760E50">
      <w:pPr>
        <w:widowControl w:val="0"/>
        <w:spacing w:before="120"/>
        <w:ind w:firstLine="567"/>
        <w:jc w:val="both"/>
        <w:rPr>
          <w:color w:val="000000"/>
          <w:sz w:val="24"/>
          <w:szCs w:val="24"/>
        </w:rPr>
      </w:pPr>
      <w:r>
        <w:rPr>
          <w:color w:val="000000"/>
          <w:sz w:val="24"/>
          <w:szCs w:val="24"/>
        </w:rPr>
        <w:t>Тем не менее, было принято именно такое решение, и, наверное, на это были какие-то основания? Прежде, чем искать их, следует рассмотреть оперативную обстановку с точки зрения адмирала Того:</w:t>
      </w:r>
    </w:p>
    <w:p w:rsidR="00760E50" w:rsidRDefault="00760E50">
      <w:pPr>
        <w:widowControl w:val="0"/>
        <w:spacing w:before="120"/>
        <w:ind w:firstLine="567"/>
        <w:jc w:val="both"/>
        <w:rPr>
          <w:color w:val="000000"/>
          <w:sz w:val="24"/>
          <w:szCs w:val="24"/>
        </w:rPr>
      </w:pPr>
      <w:r>
        <w:rPr>
          <w:color w:val="000000"/>
          <w:sz w:val="24"/>
          <w:szCs w:val="24"/>
        </w:rPr>
        <w:t>-даже после всех одержанных побед, взятия Порт-Артура и уничтожения 1-й Тихоокеанской эскадры, положение Японии не может считаться прочным; возможности Империи продолжать войну практически исчерпаны; соответственно, основной целью всех операций, как проводимых армией, так и организуемых флотом, должно быть заключение мира: можно сказать Империи, если она хочет существовать и дальше, необходимо любой ценой заключить победоносный мир;</w:t>
      </w:r>
    </w:p>
    <w:p w:rsidR="00760E50" w:rsidRDefault="00760E50">
      <w:pPr>
        <w:widowControl w:val="0"/>
        <w:spacing w:before="120"/>
        <w:ind w:firstLine="567"/>
        <w:jc w:val="both"/>
        <w:rPr>
          <w:color w:val="000000"/>
          <w:sz w:val="24"/>
          <w:szCs w:val="24"/>
        </w:rPr>
      </w:pPr>
      <w:r>
        <w:rPr>
          <w:color w:val="000000"/>
          <w:sz w:val="24"/>
          <w:szCs w:val="24"/>
        </w:rPr>
        <w:t>-давно посеянные семена соперничества между армией и флотом, четко осознаваемая Того приоритетность скорейшего развития флота для Островной империи, все это приводит его к мысли, что решающий вклад в достижение этого победоносного мира должен внести флот; следовательно флот должен одержать победу над 2-й Тихоокеанской эскадрой - победу настолько громкую, чтобы Россия под действием психологического шока немедленно пошла на мирные переговоры; победу настолько впечатляющую, чтобы у высшего руководства страны не осталось никаких сомнений в решающем вкладе флота в выигранную войну; итак, вывод, не вполне согласующийся с классическим описанием русско-японской войны на море: Рожественского вполне устраивала ничья, Того была нужна только победа:</w:t>
      </w:r>
    </w:p>
    <w:p w:rsidR="00760E50" w:rsidRDefault="00760E50">
      <w:pPr>
        <w:widowControl w:val="0"/>
        <w:spacing w:before="120"/>
        <w:ind w:firstLine="567"/>
        <w:jc w:val="both"/>
        <w:rPr>
          <w:color w:val="000000"/>
          <w:sz w:val="24"/>
          <w:szCs w:val="24"/>
        </w:rPr>
      </w:pPr>
      <w:r>
        <w:rPr>
          <w:color w:val="000000"/>
          <w:sz w:val="24"/>
          <w:szCs w:val="24"/>
        </w:rPr>
        <w:t>-опыт борьбы с 1-й Тихоокеанской эскадрой не давал Того никаких оснований считать боевую подготовку русских моряков недостаточной; авторитет Рожественского, как артиллериста, был в военно-морских кругах достаточно высок: что касается разочаровывающих результатов стрельб 2-й эскадры у Мадагаскара, то сомнительно, чтобы Того вообще знал об этом (а если и знал, должен был считать эти сведения дезинформацией); русская артиллерия всегда вызывала уважение противников: русские бронебойные снаряды справедливо считались лучшими в мире; о "высокой влажности пироксилина" на кораблях Рожественского Того, понятно, не знал (да у нас и сейчас нет ни малейших оснований считать, что процент неразорвавшихся русских бронебойных снарядов в Цусимском бою был аномально высок).</w:t>
      </w:r>
    </w:p>
    <w:p w:rsidR="00760E50" w:rsidRDefault="00760E50">
      <w:pPr>
        <w:widowControl w:val="0"/>
        <w:spacing w:before="120"/>
        <w:ind w:firstLine="567"/>
        <w:jc w:val="both"/>
        <w:rPr>
          <w:color w:val="000000"/>
          <w:sz w:val="24"/>
          <w:szCs w:val="24"/>
        </w:rPr>
      </w:pPr>
      <w:r>
        <w:rPr>
          <w:color w:val="000000"/>
          <w:sz w:val="24"/>
          <w:szCs w:val="24"/>
        </w:rPr>
        <w:t>Иными словами, Того следовало спланировать победоносный бой против эскадры, которая по своим боевым возможностям была сравнима с его флотом. Решительная победа в такой ситуации возможна лишь в том случае, если удастся использовать все свои боевые возможности и не дать противнику сделать этого. При этом крайне желательно навязать бой противнику до прихода 2-й эскадры во Владивосток.</w:t>
      </w:r>
    </w:p>
    <w:p w:rsidR="00760E50" w:rsidRDefault="00760E50">
      <w:pPr>
        <w:widowControl w:val="0"/>
        <w:spacing w:before="120"/>
        <w:ind w:firstLine="567"/>
        <w:jc w:val="both"/>
        <w:rPr>
          <w:color w:val="000000"/>
          <w:sz w:val="24"/>
          <w:szCs w:val="24"/>
        </w:rPr>
      </w:pPr>
      <w:r>
        <w:rPr>
          <w:color w:val="000000"/>
          <w:sz w:val="24"/>
          <w:szCs w:val="24"/>
        </w:rPr>
        <w:t>Но каким образом перехватить эскадру, у которой есть по меньшей мере 4 возможных маршрута? Что в этой ситуации мог предпринять Того?</w:t>
      </w:r>
    </w:p>
    <w:p w:rsidR="00760E50" w:rsidRDefault="00760E50">
      <w:pPr>
        <w:widowControl w:val="0"/>
        <w:spacing w:before="120"/>
        <w:ind w:firstLine="567"/>
        <w:jc w:val="both"/>
        <w:rPr>
          <w:color w:val="000000"/>
          <w:sz w:val="24"/>
          <w:szCs w:val="24"/>
        </w:rPr>
      </w:pPr>
      <w:r>
        <w:rPr>
          <w:color w:val="000000"/>
          <w:sz w:val="24"/>
          <w:szCs w:val="24"/>
        </w:rPr>
        <w:t>Возможные действия: а) сконцентрировать эскадру в месте вероятного появления противника, 6) разбить эскадру на боевые отряды, преградив все возможные пути к Владивостоку, в) сконцентрировать эскадру в "центре позиции", с помощью вспомогательных судов и судов-разведчиков обнаружить маршрут движения русских и перехватить их. Второй вариант непрофессионален и не подлежит рассмотрению. Третий на самом деле нереален.</w:t>
      </w:r>
    </w:p>
    <w:p w:rsidR="00760E50" w:rsidRDefault="00760E50">
      <w:pPr>
        <w:widowControl w:val="0"/>
        <w:spacing w:before="120"/>
        <w:ind w:firstLine="567"/>
        <w:jc w:val="both"/>
        <w:rPr>
          <w:color w:val="000000"/>
          <w:sz w:val="24"/>
          <w:szCs w:val="24"/>
        </w:rPr>
      </w:pPr>
      <w:r>
        <w:rPr>
          <w:color w:val="000000"/>
          <w:sz w:val="24"/>
          <w:szCs w:val="24"/>
        </w:rPr>
        <w:t>Май на тихоокеанском побережье Японии отличается неустойчивой погодой с дождями и туманами. Надежды, что вспомогательные суда в таких условиях своевременно найдут противника (причем, главные силы, а не какой-нибудь "Урал", усиленно прикидывающийся целой эскадрой), немного. Разница в ходе-5 узлов - существенна в эскадренном сражении, но для перехвата ее могло и не хватить. Даже скорее всего не хватило бы.</w:t>
      </w:r>
    </w:p>
    <w:p w:rsidR="00760E50" w:rsidRDefault="00760E50">
      <w:pPr>
        <w:widowControl w:val="0"/>
        <w:spacing w:before="120"/>
        <w:ind w:firstLine="567"/>
        <w:jc w:val="both"/>
        <w:rPr>
          <w:color w:val="000000"/>
          <w:sz w:val="24"/>
          <w:szCs w:val="24"/>
        </w:rPr>
      </w:pPr>
      <w:r>
        <w:rPr>
          <w:color w:val="000000"/>
          <w:sz w:val="24"/>
          <w:szCs w:val="24"/>
        </w:rPr>
        <w:t>Во всяком случае, на этот вариант, столь соблазнительный для подавляющего большинства флотоводцев, Того не пошел. Остался вариант а)-изначально сконцентрировать флот там, где пойдет противник. И молиться, чтобы он пошел именно там. Но где? Сангарский, Лаперузов, Курильские проливы - примерно равновероятны (с точки зрения Того). Но "ловить" корабли там очень неудобно - прежде всего, исходя из погодных условий, и во-вторых, потому, что из-за тех же погодных условий в операции может принять участие только ядро флота: ни старые миноноски, ни вспомогательные крейсера, ни, наконец, "Фусо" с "Чин-Иеном" в Курильские проливы не потащишь.</w:t>
      </w:r>
    </w:p>
    <w:p w:rsidR="00760E50" w:rsidRDefault="00760E50">
      <w:pPr>
        <w:widowControl w:val="0"/>
        <w:spacing w:before="120"/>
        <w:ind w:firstLine="567"/>
        <w:jc w:val="both"/>
        <w:rPr>
          <w:color w:val="000000"/>
          <w:sz w:val="24"/>
          <w:szCs w:val="24"/>
        </w:rPr>
      </w:pPr>
      <w:r>
        <w:rPr>
          <w:color w:val="000000"/>
          <w:sz w:val="24"/>
          <w:szCs w:val="24"/>
        </w:rPr>
        <w:t>Цусимский пролив по вероятности выделяется (правда, тем, что она - наименьшая). При этом со всех остальных точек зрения пролив идеален: расположен вблизи главной базы флота (то есть, все корабли, даже самые устаревшие и немореходные, могут быть использованы), широк, предоставляет возможности для эскадренного маневра, отличается сравнительно терпимой погодой.</w:t>
      </w:r>
    </w:p>
    <w:p w:rsidR="00760E50" w:rsidRDefault="00760E50">
      <w:pPr>
        <w:widowControl w:val="0"/>
        <w:spacing w:before="120"/>
        <w:ind w:firstLine="567"/>
        <w:jc w:val="both"/>
        <w:rPr>
          <w:color w:val="000000"/>
          <w:sz w:val="24"/>
          <w:szCs w:val="24"/>
        </w:rPr>
      </w:pPr>
      <w:r>
        <w:rPr>
          <w:color w:val="000000"/>
          <w:sz w:val="24"/>
          <w:szCs w:val="24"/>
        </w:rPr>
        <w:t>Если русская эскадра придет сюда - все шансы на стороне японцев. Если же нет, с точки зрения интересов флота и Империи лучше "по халатности" пропустить эскадру противника в базу (после чего начать по новому кругу блокадные действия), нежели продемонстрировать всему миру неспособность флота осуществить перехват и разгром противника. Есть разница, между: "Ну, прозевали..." и "Попытались, но не смогли". Вполне вероятно, что именно поэтому японский флот концентрируется для действий в Корейском проливе.</w:t>
      </w:r>
    </w:p>
    <w:p w:rsidR="00760E50" w:rsidRDefault="00760E50">
      <w:pPr>
        <w:widowControl w:val="0"/>
        <w:spacing w:before="120"/>
        <w:ind w:firstLine="567"/>
        <w:jc w:val="both"/>
        <w:rPr>
          <w:color w:val="000000"/>
          <w:sz w:val="24"/>
          <w:szCs w:val="24"/>
        </w:rPr>
      </w:pPr>
      <w:r>
        <w:rPr>
          <w:color w:val="000000"/>
          <w:sz w:val="24"/>
          <w:szCs w:val="24"/>
        </w:rPr>
        <w:t>А теперь вновь вернемся к предполагаемым рассуждениям адмирала Рожественского:</w:t>
      </w:r>
    </w:p>
    <w:p w:rsidR="00760E50" w:rsidRDefault="00760E50">
      <w:pPr>
        <w:widowControl w:val="0"/>
        <w:spacing w:before="120"/>
        <w:ind w:firstLine="567"/>
        <w:jc w:val="both"/>
        <w:rPr>
          <w:color w:val="000000"/>
          <w:sz w:val="24"/>
          <w:szCs w:val="24"/>
        </w:rPr>
      </w:pPr>
      <w:r>
        <w:rPr>
          <w:color w:val="000000"/>
          <w:sz w:val="24"/>
          <w:szCs w:val="24"/>
        </w:rPr>
        <w:t>-японский флот может перехватить нас в любом из проливов, через которые мы пойдем, либо - непосредственно на подходе к Владивостоку; последний вариант представляется наиболее реальным; таким образом, шансы встретить японскую эскадру примерно равны при любом выборе маршрута (здесь важно понять, что Рожественский, будучи русским, считал эту войну сплошной цепью ошибок и неудач русского оружия; он не был в состоянии понять всю тяжесть положения Японии и всю необходимость для нее громкой морской победы: поэтому он ошибочно исходил из того, что Того достаточно ничьей).</w:t>
      </w:r>
    </w:p>
    <w:p w:rsidR="00760E50" w:rsidRDefault="00760E50">
      <w:pPr>
        <w:widowControl w:val="0"/>
        <w:spacing w:before="120"/>
        <w:ind w:firstLine="567"/>
        <w:jc w:val="both"/>
        <w:rPr>
          <w:color w:val="000000"/>
          <w:sz w:val="24"/>
          <w:szCs w:val="24"/>
        </w:rPr>
      </w:pPr>
      <w:r>
        <w:rPr>
          <w:color w:val="000000"/>
          <w:sz w:val="24"/>
          <w:szCs w:val="24"/>
        </w:rPr>
        <w:t>-всякий маршрут, кроме пути через Корейский пролив, потребует дополнительной угольной погрузки, притом в море, и лишних дней пути; с учетом того, что и команды, и офицерский состав устали от длительного нахождения в море, всякая отсрочка с приходом в базу будет воспринята людьми крайне негативно и, вероятно, интерпретирована, как трусость командующего.</w:t>
      </w:r>
    </w:p>
    <w:p w:rsidR="00760E50" w:rsidRDefault="00760E50">
      <w:pPr>
        <w:widowControl w:val="0"/>
        <w:spacing w:before="120"/>
        <w:ind w:firstLine="567"/>
        <w:jc w:val="both"/>
        <w:rPr>
          <w:color w:val="000000"/>
          <w:sz w:val="24"/>
          <w:szCs w:val="24"/>
        </w:rPr>
      </w:pPr>
      <w:r>
        <w:rPr>
          <w:color w:val="000000"/>
          <w:sz w:val="24"/>
          <w:szCs w:val="24"/>
        </w:rPr>
        <w:t>Несомненно, так оно и было бы. Небогатов, чьи отношения с личным составом были нормальными, мог бы, не вызывая острого недовольства, отправить эскадру вокруг Японии. Имидж, который создал себе Рожественский, требовал от него вести эскадру во Владивосток кратчайшим путем. Но этот анализ может быть продолжен. Посылая на Тихоокеанский ТВД явно неадекватную своим задачам эскадру, Адмиралтейство обязано было поставить во главе адмирала стиля З.П. Рожественского. Иными словами, движение через Корейский пролив было предопределено еще в октябре 1904 года в Санкт-Петербурге. Если бы Того знал особенности личности З.П. Рожественского, он мог бы оценить, в каком психологическом состоянии эскадра войдет в Тихий океан. В этом случае принять решение о развертывании всего флота в Корейском проливе ему было бы значительно легче...</w:t>
      </w:r>
    </w:p>
    <w:p w:rsidR="00760E50" w:rsidRDefault="00760E50">
      <w:pPr>
        <w:widowControl w:val="0"/>
        <w:spacing w:before="120"/>
        <w:ind w:firstLine="567"/>
        <w:jc w:val="both"/>
        <w:rPr>
          <w:color w:val="000000"/>
          <w:sz w:val="24"/>
          <w:szCs w:val="24"/>
        </w:rPr>
      </w:pPr>
      <w:bookmarkStart w:id="0" w:name="_GoBack"/>
      <w:bookmarkEnd w:id="0"/>
    </w:p>
    <w:sectPr w:rsidR="00760E5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035"/>
    <w:rsid w:val="00240035"/>
    <w:rsid w:val="00494577"/>
    <w:rsid w:val="00760E50"/>
    <w:rsid w:val="00EC5F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5FC190-4BE3-4616-A46B-58CF4B00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character" w:styleId="a4">
    <w:name w:val="Hyperlink"/>
    <w:basedOn w:val="a0"/>
    <w:uiPriority w:val="99"/>
    <w:rPr>
      <w:color w:val="000000"/>
      <w:u w:val="single"/>
    </w:rPr>
  </w:style>
  <w:style w:type="character" w:styleId="a5">
    <w:name w:val="Emphasis"/>
    <w:basedOn w:val="a0"/>
    <w:uiPriority w:val="99"/>
    <w:qFormat/>
    <w:rPr>
      <w:i/>
      <w:iCs/>
    </w:rPr>
  </w:style>
  <w:style w:type="paragraph" w:styleId="a6">
    <w:name w:val="Normal (Web)"/>
    <w:basedOn w:val="a"/>
    <w:uiPriority w:val="99"/>
    <w:pPr>
      <w:spacing w:before="120" w:after="120"/>
      <w:ind w:firstLine="15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17085</Words>
  <Characters>9739</Characters>
  <Application>Microsoft Office Word</Application>
  <DocSecurity>0</DocSecurity>
  <Lines>81</Lines>
  <Paragraphs>53</Paragraphs>
  <ScaleCrop>false</ScaleCrop>
  <Company>PERSONAL COMPUTERS</Company>
  <LinksUpToDate>false</LinksUpToDate>
  <CharactersWithSpaces>26771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Цусима</dc:title>
  <dc:subject/>
  <dc:creator>USER</dc:creator>
  <cp:keywords/>
  <dc:description/>
  <cp:lastModifiedBy>admin</cp:lastModifiedBy>
  <cp:revision>2</cp:revision>
  <dcterms:created xsi:type="dcterms:W3CDTF">2014-01-25T22:00:00Z</dcterms:created>
  <dcterms:modified xsi:type="dcterms:W3CDTF">2014-01-25T22:00:00Z</dcterms:modified>
</cp:coreProperties>
</file>