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25" w:rsidRDefault="005856FC">
      <w:pPr>
        <w:pStyle w:val="1"/>
        <w:jc w:val="center"/>
      </w:pPr>
      <w:r>
        <w:t>Соматическое здоровье детей, проживающих на радиационно загрязненной территории Белгородской области</w:t>
      </w:r>
    </w:p>
    <w:p w:rsidR="00450325" w:rsidRPr="005856FC" w:rsidRDefault="005856FC">
      <w:pPr>
        <w:pStyle w:val="a3"/>
      </w:pPr>
      <w:r>
        <w:t> </w:t>
      </w:r>
    </w:p>
    <w:p w:rsidR="00450325" w:rsidRDefault="005856FC">
      <w:pPr>
        <w:pStyle w:val="a3"/>
      </w:pPr>
      <w:r>
        <w:t>Т. А. Погребняк, Е. В. Епиченко</w:t>
      </w:r>
    </w:p>
    <w:p w:rsidR="00450325" w:rsidRDefault="005856FC">
      <w:pPr>
        <w:pStyle w:val="a3"/>
      </w:pPr>
      <w:r>
        <w:t>Белгородский государственный университет, 308015, г. Белгород, ул. Победы, 85</w:t>
      </w:r>
    </w:p>
    <w:p w:rsidR="00450325" w:rsidRDefault="005856FC">
      <w:pPr>
        <w:pStyle w:val="a3"/>
      </w:pPr>
      <w:r>
        <w:t>Изучались особенности физического развития и уровня соматического здоровья 10-14-летних подростков, проживающих в зоне постоянного действия слабого радиоактивного загрязнения - пос. Ровеньки Белгородской области. В пределах календарного года были проведены три обследования: в мае и ноябре 2003 и в мае 2004 годов. На основе унифицированных антропометрических методов оценивались индивидуальные и групповые показатели длины и массы тела, силы мышц кисти, жизненной емкости легких.</w:t>
      </w:r>
    </w:p>
    <w:p w:rsidR="00450325" w:rsidRDefault="005856FC">
      <w:pPr>
        <w:pStyle w:val="a3"/>
      </w:pPr>
      <w:r>
        <w:t>Установлено: у 68,9% девочек и 69,6% мальчиков - средний уровень физического развития, из них соответственно 60,3 и 52,2% гармонично развиты; интенсивный прирост длины тела у девочек в 11-12 лет отмечает начало полового созревания; функциональное состояние системы внешнего дыхания 95,3% мальчиков и 50,0% девочек соответствует среднему и более высокому уровню соматического здоровья; слабое развитие мышечной системы - у 70,0% мальчиков и 63,4% девочек.</w:t>
      </w:r>
    </w:p>
    <w:p w:rsidR="00450325" w:rsidRDefault="005856FC">
      <w:pPr>
        <w:pStyle w:val="a3"/>
      </w:pPr>
      <w:r>
        <w:t>Введение</w:t>
      </w:r>
    </w:p>
    <w:p w:rsidR="00450325" w:rsidRDefault="005856FC">
      <w:pPr>
        <w:pStyle w:val="a3"/>
      </w:pPr>
      <w:r>
        <w:t>Антропометрические показатели физического развития организма объективно характеризуют его морфофункциональный статус и могут служить основой для проведения популяционного мониторинга по оценке здоровья детского населения, проживающего в зонах радиационного загрязнения. Представленный в литературе материал о негативном влиянии малых доз радиации на морфофункциональное состояние организма человека [3, 4] определил актуальность темы нашего исследования, поскольку в Белгородской области официально определены экологически-депрессивные территории [1, 2, 7].</w:t>
      </w:r>
    </w:p>
    <w:p w:rsidR="00450325" w:rsidRDefault="005856FC">
      <w:pPr>
        <w:pStyle w:val="a3"/>
      </w:pPr>
      <w:r>
        <w:t>Цель работы - изучение уровня и гармоничности физического развития (ФР) подростков, проживающих в зоне постоянного проявления слабого радиоактивного загрязнения - п. Ровеньки [1]. В исследовании приняли участие 10-14-летние школьники Ровеньской средней общеобразовательной школы с углубленным изучением отдельных предметов. Выполнено 3 фоновых обследования подростков в течение календарного года - в мае и ноябре 2003 и в мае 2004 годов.</w:t>
      </w:r>
    </w:p>
    <w:p w:rsidR="00450325" w:rsidRDefault="005856FC">
      <w:pPr>
        <w:pStyle w:val="a3"/>
      </w:pPr>
      <w:r>
        <w:t>Методы исследования</w:t>
      </w:r>
    </w:p>
    <w:p w:rsidR="00450325" w:rsidRDefault="005856FC">
      <w:pPr>
        <w:pStyle w:val="a3"/>
      </w:pPr>
      <w:r>
        <w:t>Для оценки годичной динамики биологического уровня и гармоничности ФР школьников на первом этапе каждого обследования изучали антропометрические показатели с соблюдением ряда стандартных условий и использованием унифицированных антропометрических методик и техник измерения [5,6]. Оценивали групповые и индивидуальные соматометрические и физиометрические признаки физического развития и уровня соматического здоровья школьников на основе антропометрических информативных индексов - весо-ростового (ВРИ), кистевой силы (ИКС) и жизненного (ЖИ). Результаты исследования обработаны статистически.</w:t>
      </w:r>
    </w:p>
    <w:p w:rsidR="00450325" w:rsidRDefault="005856FC">
      <w:pPr>
        <w:pStyle w:val="a3"/>
      </w:pPr>
      <w:r>
        <w:t>Результаты исследования и их обсуждение Антропометрические показатели ФР 10-13-летних подростков, полученные по результатам первого обследования (май 2003 г.), представлены в табл. 1 и 2.</w:t>
      </w:r>
    </w:p>
    <w:p w:rsidR="00450325" w:rsidRDefault="005856FC">
      <w:pPr>
        <w:pStyle w:val="a3"/>
      </w:pPr>
      <w:r>
        <w:t>Установлено существенное увеличение значений соматометрических параметров у девочек всех возрастных групп против их выраженности у сверстников, проживавших на территории</w:t>
      </w:r>
    </w:p>
    <w:p w:rsidR="00450325" w:rsidRDefault="005856FC">
      <w:pPr>
        <w:pStyle w:val="a3"/>
      </w:pPr>
      <w:r>
        <w:t>Белгородской области в 1993 г. [5]. Длина и масса тела у 10-летних девочек возросла на 2,2%. У 11- и 12-летних темп роста был более значимым - их длина тела в среднем увеличилась на 3,6 и 6,4%, а масса - на 6,7 и 15,4% соответственно. Полагаем, что эти данные указывают на отрицательную тенденцию в темпах роста школьников - высокую интенсивность и смещение начала процессов пубертатного развития у девочек на более ранний возраст - 11-12 лет.</w:t>
      </w:r>
    </w:p>
    <w:p w:rsidR="00450325" w:rsidRDefault="005856FC">
      <w:pPr>
        <w:pStyle w:val="a3"/>
      </w:pPr>
      <w:r>
        <w:t>Таблица 1</w:t>
      </w:r>
    </w:p>
    <w:p w:rsidR="00450325" w:rsidRDefault="005856FC">
      <w:pPr>
        <w:pStyle w:val="a3"/>
      </w:pPr>
      <w:r>
        <w:t>Антропометрические показатели физического развития 10-13-летних мальчиков</w:t>
      </w:r>
    </w:p>
    <w:p w:rsidR="00450325" w:rsidRDefault="005856FC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20"/>
        <w:gridCol w:w="120"/>
        <w:gridCol w:w="120"/>
        <w:gridCol w:w="120"/>
      </w:tblGrid>
      <w:tr w:rsidR="00450325">
        <w:trPr>
          <w:trHeight w:val="33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50325" w:rsidRDefault="005856FC">
            <w:r>
              <w:t>Показатели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50325" w:rsidRDefault="005856FC">
            <w:r>
              <w:t>Возраст, лет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50325" w:rsidRDefault="00450325"/>
        </w:tc>
        <w:tc>
          <w:tcPr>
            <w:tcW w:w="0" w:type="auto"/>
            <w:vAlign w:val="center"/>
            <w:hideMark/>
          </w:tcPr>
          <w:p w:rsidR="00450325" w:rsidRDefault="005856FC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13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50325" w:rsidRDefault="00450325"/>
        </w:tc>
        <w:tc>
          <w:tcPr>
            <w:tcW w:w="0" w:type="auto"/>
            <w:vAlign w:val="center"/>
            <w:hideMark/>
          </w:tcPr>
          <w:p w:rsidR="00450325" w:rsidRDefault="005856FC">
            <w:r>
              <w:t>n =21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n =7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n =11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n =9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Длина тела, см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139,1±1,20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143,0±3,61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147,4±1,98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154,4±3,52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Масса тела, кг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32,64±0,94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33,90±3,50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37,27±2,14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41,56±2,32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ОГК, см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69,81±0,71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73,30±2,11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75,45±2,05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75,83±1,48</w:t>
            </w:r>
          </w:p>
        </w:tc>
      </w:tr>
      <w:tr w:rsidR="0045032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ВРИ, г/см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236,0±10,1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270,9±11,8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279,9±12,1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301,4±14,6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Сила правой кисти, кгс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11,9±0,67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15,17±3,51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17,64±1,59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21,78±1,98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Сила левой кисти, кгс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10,43±0,53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16,00±4,23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14,18±1,53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18,67±2,13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ИКС, %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37,6±1,8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46,0±5,1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46,0±5,0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52,0±3,0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ЖЕЛ, л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2,00±0,09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2,28±0,20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2,40±0,08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2,54±0,13</w:t>
            </w:r>
          </w:p>
        </w:tc>
      </w:tr>
      <w:tr w:rsidR="00450325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ЖИ, мл/кг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61,57±3,04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67,81±3,90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66,39±2,83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63,15±1,74</w:t>
            </w:r>
          </w:p>
        </w:tc>
      </w:tr>
    </w:tbl>
    <w:p w:rsidR="00450325" w:rsidRPr="005856FC" w:rsidRDefault="005856FC">
      <w:pPr>
        <w:pStyle w:val="a3"/>
      </w:pPr>
      <w:r>
        <w:t>Таблица 2</w:t>
      </w:r>
    </w:p>
    <w:p w:rsidR="00450325" w:rsidRDefault="005856FC">
      <w:pPr>
        <w:pStyle w:val="a3"/>
      </w:pPr>
      <w:r>
        <w:t>Антропометрические показатели физического развития 10-13-летних девочек</w:t>
      </w:r>
    </w:p>
    <w:p w:rsidR="00450325" w:rsidRDefault="005856FC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20"/>
        <w:gridCol w:w="120"/>
        <w:gridCol w:w="120"/>
        <w:gridCol w:w="120"/>
      </w:tblGrid>
      <w:tr w:rsidR="00450325">
        <w:trPr>
          <w:trHeight w:val="31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50325" w:rsidRDefault="005856FC">
            <w:r>
              <w:t>Показатели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50325" w:rsidRDefault="005856FC">
            <w:r>
              <w:t>Возраст, лет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50325" w:rsidRDefault="00450325"/>
        </w:tc>
        <w:tc>
          <w:tcPr>
            <w:tcW w:w="0" w:type="auto"/>
            <w:vAlign w:val="center"/>
            <w:hideMark/>
          </w:tcPr>
          <w:p w:rsidR="00450325" w:rsidRDefault="005856FC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13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50325" w:rsidRDefault="00450325"/>
        </w:tc>
        <w:tc>
          <w:tcPr>
            <w:tcW w:w="0" w:type="auto"/>
            <w:vAlign w:val="center"/>
            <w:hideMark/>
          </w:tcPr>
          <w:p w:rsidR="00450325" w:rsidRDefault="005856FC">
            <w:r>
              <w:t>n =14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n =15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n =23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n =11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Длина тела, см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138,9±1,47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146,1±1,46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156,4±1,83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157,1±1,91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Масса тела, кг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32,7±1,6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36,8±1,71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44,4±1,70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46,3±3,24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ОГК, см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235,5±10,5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238,0±4,9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293,5±10,2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317,9±8,4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ВРИ, г/см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69,0±1,04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73,3±1,79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79,5±1,23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79,5±1,47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Сила правой кисти, кгс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10,6±0,57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12,1±0,93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16,9±1,30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14,8±1,61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Сила левой кисти, кгс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9,2±0,43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10, 7±0,87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15,6±1,20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13,3±1,51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ИКС, %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35,0±1,7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33,7±2,3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42,4±2,5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35,9±4,9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ЖЕЛ, л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2,0±0,08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2,1±0,08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2,2±0,10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2,3±0,09</w:t>
            </w:r>
          </w:p>
        </w:tc>
      </w:tr>
      <w:tr w:rsidR="00450325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50325" w:rsidRDefault="005856FC">
            <w:r>
              <w:t>ЖИ, мл/кг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61,4±3,97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52,3±2,68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52,6±2,35</w:t>
            </w:r>
          </w:p>
        </w:tc>
        <w:tc>
          <w:tcPr>
            <w:tcW w:w="0" w:type="auto"/>
            <w:vAlign w:val="center"/>
            <w:hideMark/>
          </w:tcPr>
          <w:p w:rsidR="00450325" w:rsidRDefault="005856FC">
            <w:r>
              <w:t>47,5±3,76</w:t>
            </w:r>
          </w:p>
        </w:tc>
      </w:tr>
    </w:tbl>
    <w:p w:rsidR="00450325" w:rsidRPr="005856FC" w:rsidRDefault="005856FC">
      <w:pPr>
        <w:pStyle w:val="a3"/>
      </w:pPr>
      <w:r>
        <w:t>О раннем проявлении периода полового созревания у школьниц свидетельствует и такой показатель, как значимое увеличение массы тела - на 8,9% на фоне менее выраженного прироста его длины - на 3,0% в возрасте 13 лет. У мальчиков всех возрастных групп выявленные средние показатели длины и массы тела по значениям соответствовали параметрам, установленным у их сверстников на 1993 год, и только масса тела 11-13-летних мальчиков оказалась ниже их - на 1,7-3,2%.</w:t>
      </w:r>
    </w:p>
    <w:p w:rsidR="00450325" w:rsidRDefault="005856FC">
      <w:pPr>
        <w:pStyle w:val="a3"/>
      </w:pPr>
      <w:r>
        <w:t>Первоначальная оценка ФР подростков обоего пола центильным методом [6] позволила распределить обследуемых по уровню их биологического развития (рис. 1).</w:t>
      </w:r>
    </w:p>
    <w:p w:rsidR="00450325" w:rsidRDefault="00437860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69.75pt;height:207pt">
            <v:imagedata r:id="rId4" o:title=""/>
          </v:shape>
        </w:pict>
      </w:r>
    </w:p>
    <w:p w:rsidR="00450325" w:rsidRDefault="005856FC">
      <w:pPr>
        <w:pStyle w:val="a3"/>
      </w:pPr>
      <w:r>
        <w:t>Рис. 1. Уровень биологического развития школьников 10-13 лет: I - высокий, II - средний, III - низкий;</w:t>
      </w:r>
    </w:p>
    <w:p w:rsidR="00450325" w:rsidRDefault="005856FC">
      <w:pPr>
        <w:pStyle w:val="a3"/>
      </w:pPr>
      <w:r>
        <w:t>1 - май 2003, 2 - ноябрь 2003, 3 - март 2004 гг.</w:t>
      </w:r>
    </w:p>
    <w:p w:rsidR="00450325" w:rsidRDefault="005856FC">
      <w:pPr>
        <w:pStyle w:val="a3"/>
      </w:pPr>
      <w:r>
        <w:t>У большинства обследованных подростков в течение года преобладал средний и пропорциональный уровень ФР. Полагаем, что дисгармоничность развития, отмеченная в основном у девочек 10-11 лет и мальчиков 12-13 лет, свидетельствует об активном становлении у них процессов полового созревания.</w:t>
      </w:r>
    </w:p>
    <w:p w:rsidR="00450325" w:rsidRDefault="005856FC">
      <w:pPr>
        <w:pStyle w:val="a3"/>
      </w:pPr>
      <w:r>
        <w:t>Анализ динамики длины и массы тела подростков в течение календарного года показал, что их повышение было наибольшим с мая по ноябрь 2003 года во всех возрастных группах. Наиболее значимым оно было у девочек 10 и 11 лет (на 9,1 и 11,9 см; 8,9 и 8,0 кг соответственно), а у мальчиков - в 12 и 13 лет (на 17,9 и 11,0 см; 14,8 и 9,6 кг соответственно). В период с ноября 2003 по май 2004 года отмечено резкое замедление темпов нарастания длины и массы тела подростков во всех половозрастных группах.</w:t>
      </w:r>
    </w:p>
    <w:p w:rsidR="00450325" w:rsidRDefault="005856FC">
      <w:pPr>
        <w:pStyle w:val="a3"/>
      </w:pPr>
      <w:r>
        <w:t>Среди всех подростков у 79,6% девочек и 92,7% мальчиков значения ВРИ не превышали 300 г/см (май 2003 г.), указывая на их предрасположенность к гипотрофии и истощению. Через год число школьников с низким значением ВРИ уменьшилось среди девочек и мальчиков до 44,2 и 37,1% соответственно. Считаем, что этот результат был в основном обусловлен замедлением темпов удлинения тела против повышения его массы у 13-14-летних подростков.</w:t>
      </w:r>
    </w:p>
    <w:p w:rsidR="00450325" w:rsidRDefault="005856FC">
      <w:pPr>
        <w:pStyle w:val="a3"/>
      </w:pPr>
      <w:r>
        <w:t>Абсолютная сила кисти правой и левой рук у 10-летних мальчиков оказалась на 22,6% ниже возрастной нормы, у 11-13-летних - соответствовала её нижней границе. У девочек 10-13 лет абсолютная сила кисти обеих рук указывала на выраженную мышечную слабость. Её средние значения, установленные для ведущей кисти, были ниже возрастных норм у 10-11-летних на 22,1 и 29,1%, у 12-13-летних на 15,1 и 31,2% соответственно.</w:t>
      </w:r>
    </w:p>
    <w:p w:rsidR="00450325" w:rsidRDefault="005856FC">
      <w:pPr>
        <w:pStyle w:val="a3"/>
      </w:pPr>
      <w:r>
        <w:t>Показатели ЖЕЛ у всех мальчиков проявлялись в нижних пределах средних возрастных норм. У школьниц 10 и 12 лет установленные значения ЖЕЛ, напротив, несколько превышали средние возрастные нормы (на 16,1 и 7,7%соответственно)</w:t>
      </w:r>
    </w:p>
    <w:p w:rsidR="00450325" w:rsidRDefault="005856FC">
      <w:pPr>
        <w:pStyle w:val="a3"/>
      </w:pPr>
      <w:r>
        <w:t>(см. табл. 1, 2).</w:t>
      </w:r>
    </w:p>
    <w:p w:rsidR="00450325" w:rsidRDefault="005856FC">
      <w:pPr>
        <w:pStyle w:val="a3"/>
      </w:pPr>
      <w:r>
        <w:t>Расчет индивидуальных значений ИКС и ЖИ (май 2003 г.) как объективных показателей адаптивных возможностей организма позволил распределить школьников по уровням соматического здоровья (рис. 1, 2).</w:t>
      </w:r>
    </w:p>
    <w:p w:rsidR="00450325" w:rsidRDefault="005856FC">
      <w:pPr>
        <w:pStyle w:val="a3"/>
      </w:pPr>
      <w:r>
        <w:t>По рассчитанным нами значениям ИКС, подростки, имеющие низкий уровень соматического здоровья, составили большую часть от всех обследованных - 70,0% девочек и 63,4% мальчиков. И только 12,2% мальчиков и 4,8% девочек были отнесены к группам со средним и выше среднего уровням соматического здоровья (рис. 2).</w:t>
      </w:r>
    </w:p>
    <w:p w:rsidR="00450325" w:rsidRDefault="005856FC">
      <w:pPr>
        <w:pStyle w:val="a3"/>
      </w:pPr>
      <w:r>
        <w:t>%</w:t>
      </w:r>
    </w:p>
    <w:p w:rsidR="00450325" w:rsidRDefault="00437860">
      <w:pPr>
        <w:pStyle w:val="a3"/>
      </w:pPr>
      <w:r>
        <w:rPr>
          <w:noProof/>
        </w:rPr>
        <w:pict>
          <v:shape id="_x0000_i1032" type="#_x0000_t75" style="width:363pt;height:3in">
            <v:imagedata r:id="rId5" o:title=""/>
          </v:shape>
        </w:pict>
      </w:r>
    </w:p>
    <w:p w:rsidR="00450325" w:rsidRDefault="005856FC">
      <w:pPr>
        <w:pStyle w:val="a3"/>
      </w:pPr>
      <w:r>
        <w:t>Рис. 2. Уровень соматического здоровья 10-13-летних подростков по относительной величине мышечной силы: I - низкий, II - ниже среднего,</w:t>
      </w:r>
    </w:p>
    <w:p w:rsidR="00450325" w:rsidRDefault="005856FC">
      <w:pPr>
        <w:pStyle w:val="a3"/>
      </w:pPr>
      <w:r>
        <w:t>III - средний, IV - выше среднего, V - высокий (май 2003 г.)</w:t>
      </w:r>
    </w:p>
    <w:p w:rsidR="00450325" w:rsidRDefault="005856FC">
      <w:pPr>
        <w:pStyle w:val="a3"/>
      </w:pPr>
      <w:r>
        <w:t>По значению ЖИ (май 2003 г.) у девочек 10, 12-13 лет уровень соматического здоровья соответствовал среднему или превышал его (см. рис. 3). Его низкий уровень был определен только у 28,6% 11-летних девочек. В отличие от девочек низкий уровень соматического здоровья был характерен для мальчиков 10, 12-13 лет. Кроме того, у 71,4% подростков обоего пола 11 лет он соответствовал уровню ниже среднего.</w:t>
      </w:r>
    </w:p>
    <w:p w:rsidR="00450325" w:rsidRDefault="00437860">
      <w:pPr>
        <w:pStyle w:val="a3"/>
      </w:pPr>
      <w:r>
        <w:rPr>
          <w:noProof/>
        </w:rPr>
        <w:pict>
          <v:shape id="_x0000_i1035" type="#_x0000_t75" style="width:339pt;height:184.5pt">
            <v:imagedata r:id="rId6" o:title=""/>
          </v:shape>
        </w:pict>
      </w:r>
    </w:p>
    <w:p w:rsidR="00450325" w:rsidRDefault="005856FC">
      <w:pPr>
        <w:pStyle w:val="a3"/>
      </w:pPr>
      <w:r>
        <w:t>Рис. 3. Уровень соматического здоровья школьников 10-13 лет по значениям ЖИ: I - низкий, II - ниже среднего, III - средний,</w:t>
      </w:r>
    </w:p>
    <w:p w:rsidR="00450325" w:rsidRDefault="005856FC">
      <w:pPr>
        <w:pStyle w:val="a3"/>
      </w:pPr>
      <w:r>
        <w:t>IV - выше среднего, V - высокий (май 2003 г.)</w:t>
      </w:r>
    </w:p>
    <w:p w:rsidR="00450325" w:rsidRDefault="005856FC">
      <w:pPr>
        <w:pStyle w:val="a3"/>
      </w:pPr>
      <w:r>
        <w:t>Выводы</w:t>
      </w:r>
    </w:p>
    <w:p w:rsidR="00450325" w:rsidRDefault="005856FC">
      <w:pPr>
        <w:pStyle w:val="a3"/>
      </w:pPr>
      <w:r>
        <w:t>68,9% девочек и 69,6% мальчиков имеют средний уровень физического развития, который является пропорциональным соответственно у 60,3 и 52,2%.</w:t>
      </w:r>
    </w:p>
    <w:p w:rsidR="00450325" w:rsidRDefault="005856FC">
      <w:pPr>
        <w:pStyle w:val="a3"/>
      </w:pPr>
      <w:r>
        <w:t>Высокие темпы нарастания длины тела у девочек 11-12 лет указывают на активное начало у них процессов пубертатного развития.</w:t>
      </w:r>
    </w:p>
    <w:p w:rsidR="00450325" w:rsidRDefault="005856FC">
      <w:pPr>
        <w:pStyle w:val="a3"/>
      </w:pPr>
      <w:r>
        <w:t>Функциональное состояние системы дыхания 95,3% мальчиков и 50,0% девочек соответствует среднему и более высокому уровню соматического здоровья.</w:t>
      </w:r>
    </w:p>
    <w:p w:rsidR="00450325" w:rsidRDefault="005856FC">
      <w:pPr>
        <w:pStyle w:val="a3"/>
      </w:pPr>
      <w:r>
        <w:t>Развитие мышечной системы 70,0% мальчиков и 63,4% девочек соответствует низкому уровню соматического здоровья.</w:t>
      </w:r>
    </w:p>
    <w:p w:rsidR="00450325" w:rsidRDefault="005856FC">
      <w:pPr>
        <w:pStyle w:val="a3"/>
      </w:pPr>
      <w:r>
        <w:t>Петин Н.А., Новых Л.Л., Петина В.И. Основы экологии и природопользования. - М.: Изд-во Моск. ун-та, 2004. - 288 с.</w:t>
      </w:r>
    </w:p>
    <w:p w:rsidR="00450325" w:rsidRDefault="005856FC">
      <w:pPr>
        <w:pStyle w:val="a3"/>
      </w:pPr>
      <w:r>
        <w:t>Радиоэкология / В.И. Витько, Г. Д. Коваленко, В.М. Никитин, Н.А. Чеканов. - М.; Белгород: Изд-во БелГУ, 2002.- 160 с.</w:t>
      </w:r>
    </w:p>
    <w:p w:rsidR="00450325" w:rsidRDefault="005856FC">
      <w:pPr>
        <w:pStyle w:val="a3"/>
      </w:pPr>
      <w:r>
        <w:t>Киеня А.И., Заика Э.М., Мельник В.А. Антропометрическая характеристика сельских школьников 8-13 лет, проживающих на территории радиоактивного загрязнения // Гигиена и санитария. - 2002. - № 2. - С. 61-62.</w:t>
      </w:r>
    </w:p>
    <w:p w:rsidR="00450325" w:rsidRDefault="005856FC">
      <w:pPr>
        <w:pStyle w:val="a3"/>
      </w:pPr>
      <w:r>
        <w:t>Липунова Е.А., Жернакова Н.И., Погребняк Т.А. Влияние радиационной ситуации на функциональное состояние и физическое развитие детей и подростков // III Всероссийская научнопрактическая конференция «Антропогенное воздействие и здоровье человека». - Калуга, 1996. - С. 158159.</w:t>
      </w:r>
    </w:p>
    <w:p w:rsidR="00450325" w:rsidRDefault="005856FC">
      <w:pPr>
        <w:pStyle w:val="a3"/>
      </w:pPr>
      <w:r>
        <w:t>Усов И.Н. Здоровый ребенок: справочник педиатра. - Минск: Беларусь, 1984. - 207 с.</w:t>
      </w:r>
    </w:p>
    <w:p w:rsidR="00450325" w:rsidRDefault="005856FC">
      <w:pPr>
        <w:pStyle w:val="a3"/>
      </w:pPr>
      <w:r>
        <w:t>Косованова Л.В., Мельников М.М., Айзман Р.И. Скрининг-диагностика здоровья школьников и студентов. Организация оздоровительной работы в общеобразовательных учреждениях. - Новосибирск: Изд-во Сиб.ун-та, 2003. - 240 с.</w:t>
      </w:r>
    </w:p>
    <w:p w:rsidR="00450325" w:rsidRDefault="005856FC">
      <w:pPr>
        <w:pStyle w:val="a3"/>
      </w:pPr>
      <w:r>
        <w:t>Акиньшин В.И., Мелихова В.И., Никитин К.Д. Особенности физического развития школьников в Белгородской области // Здравоохранение Российской Федерации. - 1998. - № 5. - С. 54.</w:t>
      </w:r>
      <w:bookmarkStart w:id="0" w:name="_GoBack"/>
      <w:bookmarkEnd w:id="0"/>
    </w:p>
    <w:sectPr w:rsidR="004503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6FC"/>
    <w:rsid w:val="00437860"/>
    <w:rsid w:val="00450325"/>
    <w:rsid w:val="0058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2673E73-396E-4955-897C-F273D5CD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1564</Words>
  <Characters>8915</Characters>
  <Application>Microsoft Office Word</Application>
  <DocSecurity>0</DocSecurity>
  <Lines>74</Lines>
  <Paragraphs>20</Paragraphs>
  <ScaleCrop>false</ScaleCrop>
  <Company>diakov.net</Company>
  <LinksUpToDate>false</LinksUpToDate>
  <CharactersWithSpaces>10459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Соматическое здоровье детей, проживающих на радиационно загрязненной территории Белгородской области</dc:title>
  <dc:subject/>
  <dc:creator>Irina</dc:creator>
  <cp:keywords/>
  <dc:description/>
  <cp:lastModifiedBy>Irina</cp:lastModifiedBy>
  <cp:revision>2</cp:revision>
  <dcterms:created xsi:type="dcterms:W3CDTF">2014-08-02T19:32:00Z</dcterms:created>
  <dcterms:modified xsi:type="dcterms:W3CDTF">2014-08-02T19:32:00Z</dcterms:modified>
</cp:coreProperties>
</file>