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E" w:rsidRPr="0083521F" w:rsidRDefault="00F1742E" w:rsidP="00F1742E">
      <w:pPr>
        <w:spacing w:before="120"/>
        <w:jc w:val="center"/>
        <w:rPr>
          <w:b/>
          <w:bCs/>
          <w:sz w:val="32"/>
          <w:szCs w:val="32"/>
        </w:rPr>
      </w:pPr>
      <w:r w:rsidRPr="0083521F">
        <w:rPr>
          <w:b/>
          <w:bCs/>
          <w:sz w:val="32"/>
          <w:szCs w:val="32"/>
        </w:rPr>
        <w:t>Порядок привлечения к материальной ответственности работников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Деятельность торговой организации неразрывно связана с поручением конкретному работнику или бригаде работников определенных материальных ценностей - товаров. В этом случае организация должна в обязательном порядке заключить либо индивидуальный договор о полной материальной ответственности, либо о коллективной материальной ответственности.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В соответствии с трудовым законодательством такой договор может быть заключен работодателем с работником, достигшим возраста 18-ти лет и непосредственно обслуживающим денежные, товарные ценности или какое-то другое имущество.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Перечень работ и категорий работников, с которыми может быть заключен договор о полной материальной ответственности, а также типовые формы таких договоров в соответствии с ТК РФ утверждаются Правительством Российской Федерации.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3 февраля 2003 года под №4171 в Минюсте Российской Федерации был зарегистрирован следующий документ: Постановление Министерства труда Российской Федерации от 31 декабря 2002 года №85 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ответственности", который внес некоторые изменения в вопросы, связанные с материальной ответственностью работников.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 xml:space="preserve">Учитывая, что Трудовой кодекс Российской Федерации (далее ТК РФ) содержит указания на применение новых перечней и типовых форм договоров, то в связи с вступлением в силу данного Постановления Минтруда организациям торговли (как и любым другим) необходимо произвести переоформление письменных договоров о полной и коллективной (бригадной) материальной ответственности, а так же оформить новые договора с теми работниками, которые ранее не попадали под категорию лиц с полной материальной ответственностью. 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Так, например, в отношении организаций торговли в новый перечень лиц, несущих полную материальную ответственность, включены администраторы (главные и старшие), которые ранее не несли такой ответственности.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Причем в соответствии со статьей 73 ТК РФ по причинам, связанным с изменением организационных или технологических условий труда, допускается изменение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О введении указанных изменений работник должен быть уведомлен работодателем в письменной форме не позднее, чем за два месяца до их введения, если иное не предусмотрено ТК РФ или иным федеральным законом.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Иначе говоря, тот работник, который ранее не попадал в категорию лиц, несущих полную материальную ответственность, должен быть уведомлен об этом заранее, и подписание нового договора с ним, может быть произведено только по истечении 2-х месяцев со дня такого предупреждения.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Если работник не согласен на продолжение работы в новых условиях, то работодатель обязан в письменной форме предложить ему иную имеющуюся в организации работу, соответствующую его квалификации и состоянию здоровья, а при отсутствии такой работы - вакантную нижестоящую должность или нижеоплачиваемую работу, которую работник может выполнять с учетом его квалификации и состояния здоровья.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При отсутствии указанной работы, а также в случае отказа работника от предложенной работы трудовой договор прекращается в соответствии с пунктом 7 статьи 77 ТК РФ.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Переоформление договоров с работниками, с которыми были заключены ранее договора о полной материальной ответственности, производится без предупреждения.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Если сравнивать старую и новую формы договора о полной материальной ответственности можно отметить следующее: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Прежде всего, и это обусловлено положениями самого ТК РФ, работники или коллективы работников, несут материальную ответственность не только за недостачу вверенного им имущества, но также за ущерб, возникший у работодателя в результате возмещения им ущерба иным лицам. В новой форме договора это предусмотрено.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Кроме того, новая форма договора не содержит необходимость согласования приказа работодателя с профсоюзом организации, как это предусматривалось ранее. Мнение данного органа теперь может не учитываться работодателем при исполнении им своих обязанностей.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Новый договор не содержит также положения, согласно которому отдельные члены коллектива могут быть освобождены от ответственности, если будут установлены конкретные виновники причиненного ущерба. Теперь этот вопрос решает работодатель в пределах предоставленных ему прав (в частности, - если сумма ущерба к возмещению составляет не более среднемесячного заработка работника) или же судебными органами.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Если ранее применялась методика распределения суммы причитающегося к возмещению ущерба отдельными членами коллектива в пропорциональном отношении месячной тарифной ставке и отработанному времени, то теперь данная методика отменена.</w:t>
      </w:r>
    </w:p>
    <w:p w:rsidR="00F1742E" w:rsidRPr="0083521F" w:rsidRDefault="00F1742E" w:rsidP="00F1742E">
      <w:pPr>
        <w:spacing w:before="120"/>
        <w:jc w:val="center"/>
        <w:rPr>
          <w:b/>
          <w:bCs/>
          <w:sz w:val="28"/>
          <w:szCs w:val="28"/>
        </w:rPr>
      </w:pPr>
      <w:r w:rsidRPr="0083521F">
        <w:rPr>
          <w:b/>
          <w:bCs/>
          <w:sz w:val="28"/>
          <w:szCs w:val="28"/>
        </w:rPr>
        <w:t>Рекомендации.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Учитывая, что данная форма договора является типовой, и, следовательно, может быть несколько изменена по согласованию между работником и работодателем, то порядок распределения подлежащего возмещению ущерба между членами бригады следует все-таки оговорить. При отсутствии такого порядка, распределение ущерба между работниками должно производиться в порядке, определенном отдельным нормативным актом организации, приказом руководителя или судом. В соответствии со статьей 240 ТК РФ: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"Работодатель имеет право с учетом конкретных обстоятельств, при которых был причинен ущерб, полностью или частично отказаться от его взыскания с виновного работника".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Однако в случае коллективной материальной ответственности освобождение одного члена коллектива за счет других производиться не должно. Часть ущерба, приходящегося на освобождаемого работника должна погашаться за счет организации.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Во всех случаях при решении вопросов, связанных размером ущерба, необходимо помнить, что возмещению подлежит только прямой действительный ущерб. Так называемая, упущенная выгода, с работника не взыскивается. Такие положения вытекают из статьи 238 ТК РФ: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 xml:space="preserve">"Работник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 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 или восстановление имущества.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 xml:space="preserve">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иным лицам". 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Материальная ответственность работника в соответствии со статьей 239 ТК РФ исключается в случаях: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"возникновения ущерба вследствие непреодолимой силы, нормального хозяйственного риска, крайней необходимости или необходимой обороны либо неисполнения работодателем обязанности по обеспечению надлежащих условий для хранения имущества, вверенного работнику".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При этом риск может считаться оправданным, если совершенное действие соответствует современным знаниям и опыту, поставленная цель не могла быть достигнута другими способами, а лицо, допустившее риск, предприняло все возможные меры для предотвращения ущерба.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Каким образом рассчитывается размер причиненного ущерба?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 xml:space="preserve">В соответствии со статьей 246 ТК РФ: 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"Размер ущерба, причиненного работодателю при утрате и порче имущества, определяется по фактическим потерям, исчисляемым исходя из рыночных цен, действующих в данной местности на день причинения ущерба, но не ниже стоимости имущества по данным бухгалтерского учета с учетом степени износа этого имущества.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Федеральным законом может быть установлен особый порядок определения размера подлежащего возмещению ущерба, причиненного работодателю хищением, умышленной порчей, недостачей или утратой отдельных видов имущества и других ценностей, а также в тех случаях, когда фактический размер причиненного ущерба превышает его номинальный размер".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До принятия решения о возмещении причиненного ущерба сотрудниками организации, с которыми заключены договора о полной материальной ответственности, работодатель обязан провести инвентаризацию и оформить ее результаты в установленном законом порядке.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Правила организации инвентаризации, проведение и оформление ее результатов были рассмотрены выше.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При рассмотрении вопросов, связанных с распределением суммы причитающегося к возмещению материального ущерба отдельными сотрудниками, в случае коллективной материальной ответственности руководитель организации может назначить административное расследование, в ходе которого должна быть определена степень вины каждого сотрудника.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Обратите внимание!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Под днем обнаружения ущерба, по которому должны приниматься те или иные цены на недостающие ценности, следует считать день подписания итогового приказа о результатах инвентаризации.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Нужно отметить, что на практике, при выявлении расхождений между данными бухгалтерского учета и фактическим наличием ценностей, администрация организации зачастую пытается эту разность взыскать с виновных лиц, классифицируя ее как недостачу. Однако те, кого считает администрация виновным, не всегда с этим согласны, и как правило, прилагают много усилий, чтобы доказать свою непричастность. Помните! Никого нельзя сделать должником без его согласия. Иначе говоря, ответчик должен признать свою вину, только тогда у администрации появится право классифицировать эту разность как недостачу и тем самым создать дебиторскую задолженность работника.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Взыскание сумм недостач с виновного лица в возмещение товарно-материальных ценностей, выявленных в результате инвентаризации должно производиться в соответствии с ТК РФ. Материальная ответственность за ущерб, причиненный организации при исполнении трудовых обязанностей, возлагается на работника при условии, что его вина доказана. При этом необходимо помнить, что в соответствии со статьей 241 ТК РФ: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 xml:space="preserve">"За причиненный ущерб работник несет материальную ответственность в пределах своего среднего месячного заработка, если иное не предусмотрено настоящим Кодексом или иными федеральными законами". 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 xml:space="preserve">Работник, по вине которого был причинен ущерб организации, может признать свою вину и возместить последней сумму причиненного ущерба, полностью или частично. В том случае, если сумма причиненного ущерба не превышает средний месячный заработок работника, то взыскание производится на основании распоряжения руководителя организации. 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Обратите внимание!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Распоряжение руководителя о взыскании должно быть сделано не позднее одного месяца со дня окончательного установления организацией размера причиненного ущерба.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В том случае, если месячный срок истек или работник не согласен добровольно возместить причиненный работодателю ущерб, а сумма причиненного ущерба, подлежащая взысканию с работника, превышает его средний месячный заработок, то организация должна обратиться в судебные органы. Если работодатель нарушит установленный порядок взыскания причиненного ущерба, работник может обжаловать действия администрации и обратиться в суд.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При возмещении причиненного ущерба допускается возмещение последнего с рассрочкой платежа (такой пункт должен быть указан в трудовом договоре). В этом случае работник должен предоставить письменное обязательство о возмещении ущерба с указанием конкретных сроков платежей. В случае увольнения работника, который дал письменное обязательство о добровольном возмещении ущерба, но отказался возместить указанный ущерб, непогашенная задолженность взыскивается в судебном порядке.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С согласия работодателя работник может передать ему для возмещения причиненного ущерба равноценное имущество или исправить поврежденное имущество.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Возмещение ущерба производится независимо от привлечения работника к дисциплинарной, административной или уголовной ответственности за действия или бездействие, которыми причинен ущерб работодателю.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 xml:space="preserve">Среднемесячный заработок работника, который является основой для разграничения порядка производства удержаний, в настоящее время определяется в порядке, установленном статьей 139 ТК РФ: 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"Для всех случаев определения размера средней заработной платы, предусмотренных настоящим Кодексом, устанавливается единый порядок ее исчисления.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 xml:space="preserve">Для расчета средней заработной платы учитываются все предусмотренные системой оплаты труда виды выплат, применяемые в соответствующей организации независимо от источников этих выплат. 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месяцев, предшествующих моменту выплаты… 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…В коллективном договоре могут быть предусмотрены и иные периоды для расчета средней заработной платы, если это не ухудшает положение работников. Особенности порядка исчисления средней заработной платы, установленного настоящей статьей, определяются Правительством Российской Федерации с учетом мнения Российской трехсторонней комиссии по регулированию социально-трудовых отношений".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В таком же порядке, производятся удержания и при коллективной (бригадной) ответственности. При этом к материальной ответственности по распоряжению работодателя работник может быть привлечен только, если ущерб, приходящийся на его долю, как члена бригады, не превышает его среднемесячного заработка.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В остальных случаях возмещение ущерба производится путем предъявления администрацией организации иска в судебные органы.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Рассмотрим на примере, как производится удержание из заработной платы работника суммы причиненного ущерба.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>Размер удержаний из заработной платы и иных видов доходов работника исчисляется из суммы, оставшейся после удержания налогов.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Пример 1.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По решению администрации организации ООО "Сатурн" с работника подлежит удержанию сумма причиненного ущерба в размере 1 200 рублей.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Сумма начисленной заработной платы составляет 4 000 рублей.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Сумма удержанного НДФЛ: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(4 000 - 400) х 13% = 468 рублей.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Сумма удержаний в возмещение ущерба: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(4 000 - 468) х 20% = 706 рублей.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Сумма к выдаче работнику: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4 000 - 468 - 706 = 2 826 рублей.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Остаток суммы к взысканию: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1 200 - 706 = 494 рублей.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В следующем месяце сумма начисленной зарплаты составляет 3 800 рублей.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Сумма удержанного НДФЛ: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(3 800 - 400) х 13% = 442 рубля.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Максимальная сумма, которая может быть удержана: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(3 800 - 442) х 20% = 672 рубля.</w:t>
      </w:r>
    </w:p>
    <w:p w:rsidR="00F1742E" w:rsidRDefault="00F1742E" w:rsidP="00F1742E">
      <w:pPr>
        <w:spacing w:before="120"/>
        <w:ind w:firstLine="567"/>
        <w:jc w:val="both"/>
      </w:pPr>
      <w:r w:rsidRPr="00B369EA">
        <w:t xml:space="preserve">Так как остаток суммы, подлежащей удержанию (494 рубля), меньше этой суммы, она удерживается полностью. 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Сумма к выдаче работнику:</w:t>
      </w:r>
    </w:p>
    <w:p w:rsidR="00F1742E" w:rsidRDefault="00F1742E" w:rsidP="00F1742E">
      <w:pPr>
        <w:spacing w:before="120"/>
        <w:ind w:firstLine="567"/>
        <w:jc w:val="both"/>
      </w:pPr>
      <w:r w:rsidRPr="00B369EA">
        <w:t>3 800 - 442 - 494 = 2 864 рубля.</w:t>
      </w:r>
    </w:p>
    <w:p w:rsidR="00F1742E" w:rsidRPr="00B369EA" w:rsidRDefault="00F1742E" w:rsidP="00F1742E">
      <w:pPr>
        <w:spacing w:before="120"/>
        <w:ind w:firstLine="567"/>
        <w:jc w:val="both"/>
      </w:pPr>
      <w:r w:rsidRPr="00B369EA">
        <w:t xml:space="preserve">Окончание примера.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42E"/>
    <w:rsid w:val="00616072"/>
    <w:rsid w:val="007739EB"/>
    <w:rsid w:val="0083521F"/>
    <w:rsid w:val="008B35EE"/>
    <w:rsid w:val="00B369EA"/>
    <w:rsid w:val="00B42C45"/>
    <w:rsid w:val="00B47B6A"/>
    <w:rsid w:val="00F1742E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5A1284-BF71-47CC-ACBE-D9519DB2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42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1742E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9375</Words>
  <Characters>5345</Characters>
  <Application>Microsoft Office Word</Application>
  <DocSecurity>0</DocSecurity>
  <Lines>44</Lines>
  <Paragraphs>29</Paragraphs>
  <ScaleCrop>false</ScaleCrop>
  <Company>Home</Company>
  <LinksUpToDate>false</LinksUpToDate>
  <CharactersWithSpaces>14691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привлечения к материальной ответственности работников</dc:title>
  <dc:subject/>
  <dc:creator>User</dc:creator>
  <cp:keywords/>
  <dc:description/>
  <cp:lastModifiedBy>admin</cp:lastModifiedBy>
  <cp:revision>2</cp:revision>
  <dcterms:created xsi:type="dcterms:W3CDTF">2014-01-24T17:05:00Z</dcterms:created>
  <dcterms:modified xsi:type="dcterms:W3CDTF">2014-01-24T17:05:00Z</dcterms:modified>
</cp:coreProperties>
</file>