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D5D" w:rsidRPr="00D81E04" w:rsidRDefault="005F6D5D" w:rsidP="005F6D5D">
      <w:pPr>
        <w:spacing w:before="120"/>
        <w:jc w:val="center"/>
        <w:rPr>
          <w:b/>
          <w:sz w:val="32"/>
        </w:rPr>
      </w:pPr>
      <w:r w:rsidRPr="00D81E04">
        <w:rPr>
          <w:b/>
          <w:sz w:val="32"/>
        </w:rPr>
        <w:t>Ирландские иллюстрированные Евангелия VII-VIII вв.</w:t>
      </w:r>
    </w:p>
    <w:p w:rsidR="005F6D5D" w:rsidRPr="00D81E04" w:rsidRDefault="005F6D5D" w:rsidP="005F6D5D">
      <w:pPr>
        <w:spacing w:before="120"/>
        <w:jc w:val="center"/>
        <w:rPr>
          <w:sz w:val="28"/>
        </w:rPr>
      </w:pPr>
      <w:r w:rsidRPr="00D81E04">
        <w:rPr>
          <w:sz w:val="28"/>
        </w:rPr>
        <w:t>Архимандрит Давидова М. Г.</w:t>
      </w:r>
    </w:p>
    <w:p w:rsidR="005F6D5D" w:rsidRPr="00071A5F" w:rsidRDefault="005F6D5D" w:rsidP="005F6D5D">
      <w:pPr>
        <w:spacing w:before="120"/>
        <w:ind w:firstLine="567"/>
        <w:jc w:val="both"/>
      </w:pPr>
      <w:r w:rsidRPr="00071A5F">
        <w:t xml:space="preserve">Орнаментальная традиция в манускриптах раннего средневековья </w:t>
      </w:r>
    </w:p>
    <w:p w:rsidR="005F6D5D" w:rsidRPr="00071A5F" w:rsidRDefault="005F6D5D" w:rsidP="005F6D5D">
      <w:pPr>
        <w:spacing w:before="120"/>
        <w:ind w:firstLine="567"/>
        <w:jc w:val="both"/>
      </w:pPr>
      <w:r w:rsidRPr="00071A5F">
        <w:t>Ирландия в эпоху раннего средневековья находилась в особом положении в сравнении с Британией и Галлией. Галлия как часть римской империи включала античные инфраструктуры: здесь сохранялись древне римские дороги и центры</w:t>
      </w:r>
      <w:r>
        <w:t xml:space="preserve">, </w:t>
      </w:r>
      <w:r w:rsidRPr="00071A5F">
        <w:t>которые впоследствии сохранили статус значимых городов и епископий (Реймс</w:t>
      </w:r>
      <w:r>
        <w:t xml:space="preserve">, </w:t>
      </w:r>
      <w:r w:rsidRPr="00071A5F">
        <w:t>Кёльн</w:t>
      </w:r>
      <w:r>
        <w:t xml:space="preserve">, </w:t>
      </w:r>
      <w:r w:rsidRPr="00071A5F">
        <w:t>Камбре и др.). В Галлии</w:t>
      </w:r>
      <w:r>
        <w:t xml:space="preserve">, </w:t>
      </w:r>
      <w:r w:rsidRPr="00071A5F">
        <w:t>Франкии и Алемании</w:t>
      </w:r>
      <w:r>
        <w:t xml:space="preserve">, </w:t>
      </w:r>
      <w:r w:rsidRPr="00071A5F">
        <w:t>входивших в состав империи Карла Великого</w:t>
      </w:r>
      <w:r>
        <w:t xml:space="preserve">, </w:t>
      </w:r>
      <w:r w:rsidRPr="00071A5F">
        <w:t>на должность христианских церковных иерархов назначались</w:t>
      </w:r>
      <w:r>
        <w:t xml:space="preserve">, </w:t>
      </w:r>
      <w:r w:rsidRPr="00071A5F">
        <w:t>как правило</w:t>
      </w:r>
      <w:r>
        <w:t xml:space="preserve">, </w:t>
      </w:r>
      <w:r w:rsidRPr="00071A5F">
        <w:t>потомственные римские граждане (галло-римляне)</w:t>
      </w:r>
      <w:r>
        <w:t xml:space="preserve">, </w:t>
      </w:r>
      <w:r w:rsidRPr="00071A5F">
        <w:t>владевшие значительной земельной собственностью и рабочей силой для поддержания этой собственности [Лебек 1993: 29]. Таким образом</w:t>
      </w:r>
      <w:r>
        <w:t xml:space="preserve">, </w:t>
      </w:r>
      <w:r w:rsidRPr="00071A5F">
        <w:t>старая римская администрация и аристократия естественно ассимилировалась с миром варварской Европы</w:t>
      </w:r>
      <w:r>
        <w:t xml:space="preserve">, </w:t>
      </w:r>
      <w:r w:rsidRPr="00071A5F">
        <w:t>сохраняя при этом приоритетное значение.</w:t>
      </w:r>
    </w:p>
    <w:p w:rsidR="005F6D5D" w:rsidRPr="00071A5F" w:rsidRDefault="005F6D5D" w:rsidP="005F6D5D">
      <w:pPr>
        <w:spacing w:before="120"/>
        <w:ind w:firstLine="567"/>
        <w:jc w:val="both"/>
      </w:pPr>
      <w:r w:rsidRPr="00071A5F">
        <w:t>Остготское королевство в Италии</w:t>
      </w:r>
      <w:r>
        <w:t xml:space="preserve">, </w:t>
      </w:r>
      <w:r w:rsidRPr="00071A5F">
        <w:t>просуществовавшее около 60 лет и достигшее своего высшего расцвета при Теодорихе (493-526 гг.)</w:t>
      </w:r>
      <w:r>
        <w:t xml:space="preserve">, </w:t>
      </w:r>
      <w:r w:rsidRPr="00071A5F">
        <w:t>мыслилось современниками как продолжение римской государственности. В «Вариях» (537-538) Кассиодора Сенатора – государственного деятеля и придворного</w:t>
      </w:r>
      <w:r>
        <w:t xml:space="preserve">, </w:t>
      </w:r>
      <w:r w:rsidRPr="00071A5F">
        <w:t>пережившего остготское королевство</w:t>
      </w:r>
      <w:r>
        <w:t xml:space="preserve">, </w:t>
      </w:r>
      <w:r w:rsidRPr="00071A5F">
        <w:t>византийское и лангобардское завоевание Италии</w:t>
      </w:r>
      <w:r>
        <w:t xml:space="preserve">, </w:t>
      </w:r>
      <w:r w:rsidRPr="00071A5F">
        <w:t>собраны государственные эдикты</w:t>
      </w:r>
      <w:r>
        <w:t xml:space="preserve">, </w:t>
      </w:r>
      <w:r w:rsidRPr="00071A5F">
        <w:t>рескрипты</w:t>
      </w:r>
      <w:r>
        <w:t xml:space="preserve">, </w:t>
      </w:r>
      <w:r w:rsidRPr="00071A5F">
        <w:t>тексты эпистолярного жанра</w:t>
      </w:r>
      <w:r>
        <w:t xml:space="preserve">, </w:t>
      </w:r>
      <w:r w:rsidRPr="00071A5F">
        <w:t>которые продолжают линию декретов римских императоров и формируют представление об остготском государстве и его законах как органическом продолжении имперской государственности [Уколова 1989: 83-108].</w:t>
      </w:r>
    </w:p>
    <w:p w:rsidR="005F6D5D" w:rsidRPr="00071A5F" w:rsidRDefault="005F6D5D" w:rsidP="005F6D5D">
      <w:pPr>
        <w:spacing w:before="120"/>
        <w:ind w:firstLine="567"/>
        <w:jc w:val="both"/>
      </w:pPr>
      <w:r w:rsidRPr="00071A5F">
        <w:t>Иными словами</w:t>
      </w:r>
      <w:r>
        <w:t xml:space="preserve">, </w:t>
      </w:r>
      <w:r w:rsidRPr="00071A5F">
        <w:t>законодательная деятельность римлян</w:t>
      </w:r>
      <w:r>
        <w:t xml:space="preserve">, </w:t>
      </w:r>
      <w:r w:rsidRPr="00071A5F">
        <w:t>их аристократия (впоследствии гражданская и духовная элита) определяли</w:t>
      </w:r>
      <w:r>
        <w:t xml:space="preserve">, </w:t>
      </w:r>
      <w:r w:rsidRPr="00071A5F">
        <w:t>в какой-то степени</w:t>
      </w:r>
      <w:r>
        <w:t xml:space="preserve">, </w:t>
      </w:r>
      <w:r w:rsidRPr="00071A5F">
        <w:t>государственный облик первых варварских королевств на территории Европы</w:t>
      </w:r>
      <w:r>
        <w:t xml:space="preserve">, </w:t>
      </w:r>
      <w:r w:rsidRPr="00071A5F">
        <w:t>а потом и мифический образ «Священной Римской империи»</w:t>
      </w:r>
      <w:r>
        <w:t xml:space="preserve">, </w:t>
      </w:r>
      <w:r w:rsidRPr="00071A5F">
        <w:t>основанной и поддерживаемой Каролингами</w:t>
      </w:r>
      <w:r>
        <w:t xml:space="preserve">, </w:t>
      </w:r>
      <w:r w:rsidRPr="00071A5F">
        <w:t xml:space="preserve">а впоследствии – представителями саксонской династии. </w:t>
      </w:r>
    </w:p>
    <w:p w:rsidR="005F6D5D" w:rsidRPr="00071A5F" w:rsidRDefault="005F6D5D" w:rsidP="005F6D5D">
      <w:pPr>
        <w:spacing w:before="120"/>
        <w:ind w:firstLine="567"/>
        <w:jc w:val="both"/>
      </w:pPr>
      <w:r w:rsidRPr="00071A5F">
        <w:t>В культурном отношении образ континентальной Европы складывается в контексте галло-римского синкретизма: античное наследие в области искусств и литературы не только не было отвергнуто</w:t>
      </w:r>
      <w:r>
        <w:t xml:space="preserve">, </w:t>
      </w:r>
      <w:r w:rsidRPr="00071A5F">
        <w:t>но всемерно поддерживалось иерархами Церкви. Согласно традиции</w:t>
      </w:r>
      <w:r>
        <w:t xml:space="preserve">, </w:t>
      </w:r>
      <w:r w:rsidRPr="00071A5F">
        <w:t>идущей от св. Иеронима</w:t>
      </w:r>
      <w:r>
        <w:t xml:space="preserve">, </w:t>
      </w:r>
      <w:r w:rsidRPr="00071A5F">
        <w:t>«любовь к письменности и стремление к Богу соединялись в одно целое». Латинский язык</w:t>
      </w:r>
      <w:r>
        <w:t xml:space="preserve">, </w:t>
      </w:r>
      <w:r w:rsidRPr="00071A5F">
        <w:t>принятый для возвышенного рода литературы</w:t>
      </w:r>
      <w:r>
        <w:t xml:space="preserve">, </w:t>
      </w:r>
      <w:r w:rsidRPr="00071A5F">
        <w:t>обязывал</w:t>
      </w:r>
      <w:r>
        <w:t xml:space="preserve">, </w:t>
      </w:r>
      <w:r w:rsidRPr="00071A5F">
        <w:t>если не с содержательной</w:t>
      </w:r>
      <w:r>
        <w:t xml:space="preserve">, </w:t>
      </w:r>
      <w:r w:rsidRPr="00071A5F">
        <w:t>то с филологической стороны</w:t>
      </w:r>
      <w:r>
        <w:t xml:space="preserve">, </w:t>
      </w:r>
      <w:r w:rsidRPr="00071A5F">
        <w:t>подражанию древнеримской литературе периода ее расцвета. Поэтому Цицерон и Вергилий</w:t>
      </w:r>
      <w:r>
        <w:t xml:space="preserve">, </w:t>
      </w:r>
      <w:r w:rsidRPr="00071A5F">
        <w:t>как пишет Луп Феррьерский – ученый и интеллектуал второй четверти IX в. – были разрешены «в обществе избранных» как источник</w:t>
      </w:r>
      <w:r>
        <w:t xml:space="preserve">, </w:t>
      </w:r>
      <w:r w:rsidRPr="00071A5F">
        <w:t>указывающий формулу структурного совершенства для церковной литературы [Тейс 1993: 86-87].</w:t>
      </w:r>
    </w:p>
    <w:p w:rsidR="005F6D5D" w:rsidRPr="00071A5F" w:rsidRDefault="005F6D5D" w:rsidP="005F6D5D">
      <w:pPr>
        <w:spacing w:before="120"/>
        <w:ind w:firstLine="567"/>
        <w:jc w:val="both"/>
      </w:pPr>
      <w:r w:rsidRPr="00071A5F">
        <w:t xml:space="preserve">В </w:t>
      </w:r>
      <w:smartTag w:uri="urn:schemas-microsoft-com:office:smarttags" w:element="metricconverter">
        <w:smartTagPr>
          <w:attr w:name="ProductID" w:val="40 г"/>
        </w:smartTagPr>
        <w:r w:rsidRPr="00071A5F">
          <w:t>40 г</w:t>
        </w:r>
      </w:smartTag>
      <w:r w:rsidRPr="00071A5F">
        <w:t>. н. э. Британия была завоевана римлянами</w:t>
      </w:r>
      <w:r>
        <w:t xml:space="preserve">, </w:t>
      </w:r>
      <w:r w:rsidRPr="00071A5F">
        <w:t>но латинизация происходит здесь позже</w:t>
      </w:r>
      <w:r>
        <w:t xml:space="preserve">, </w:t>
      </w:r>
      <w:r w:rsidRPr="00071A5F">
        <w:t>благодаря переселению сюда галло-римлян</w:t>
      </w:r>
      <w:r>
        <w:t xml:space="preserve">, </w:t>
      </w:r>
      <w:r w:rsidRPr="00071A5F">
        <w:t>бежавших в IV в. от германского нашествия. Только независимая от римлян Ирландия</w:t>
      </w:r>
      <w:r>
        <w:t xml:space="preserve">, </w:t>
      </w:r>
      <w:r w:rsidRPr="00071A5F">
        <w:t>сохранила традиционную культуру кельтского происхождения после христианизации. Несмотря на то</w:t>
      </w:r>
      <w:r>
        <w:t xml:space="preserve">, </w:t>
      </w:r>
      <w:r w:rsidRPr="00071A5F">
        <w:t>что кельты не оставили значительных следов материальной культуры</w:t>
      </w:r>
      <w:r>
        <w:t xml:space="preserve">, </w:t>
      </w:r>
      <w:r w:rsidRPr="00071A5F">
        <w:t>их присутствие в дохристианской Европе больше всего выразилось в языковом влиянии</w:t>
      </w:r>
      <w:r>
        <w:t xml:space="preserve">, </w:t>
      </w:r>
      <w:r w:rsidRPr="00071A5F">
        <w:t>распространении культовой устной литературы</w:t>
      </w:r>
      <w:r>
        <w:t xml:space="preserve">, </w:t>
      </w:r>
      <w:r w:rsidRPr="00071A5F">
        <w:t>воспоминание о которой содержат многие мифологические тексты</w:t>
      </w:r>
      <w:r>
        <w:t xml:space="preserve">, </w:t>
      </w:r>
      <w:r w:rsidRPr="00071A5F">
        <w:t>ставшие впоследствии достоянием светских художественных сочинений. Это эпос</w:t>
      </w:r>
      <w:r>
        <w:t xml:space="preserve">, </w:t>
      </w:r>
      <w:r w:rsidRPr="00071A5F">
        <w:t>например</w:t>
      </w:r>
      <w:r>
        <w:t xml:space="preserve">, </w:t>
      </w:r>
      <w:r w:rsidRPr="00071A5F">
        <w:t>о рыцарях короля Артура</w:t>
      </w:r>
      <w:r>
        <w:t xml:space="preserve">, </w:t>
      </w:r>
      <w:r w:rsidRPr="00071A5F">
        <w:t>в состав которого входят такие распространенные сюжеты как история о Тристане и Изольде</w:t>
      </w:r>
      <w:r>
        <w:t xml:space="preserve">, </w:t>
      </w:r>
      <w:r w:rsidRPr="00071A5F">
        <w:t>рыцаре Ланцелоте и др. В числе других «нематериальных» свидетельств кельтской культуры можно назвать декоративную орнаментальную традицию. Орнамент во все эпохи является как бы вторым священным «языком»</w:t>
      </w:r>
      <w:r>
        <w:t xml:space="preserve">, </w:t>
      </w:r>
      <w:r w:rsidRPr="00071A5F">
        <w:t>кодируя основную космогоническую символику мифа. Традиция орнамента</w:t>
      </w:r>
      <w:r>
        <w:t xml:space="preserve">, </w:t>
      </w:r>
      <w:r w:rsidRPr="00071A5F">
        <w:t>как язык</w:t>
      </w:r>
      <w:r>
        <w:t xml:space="preserve">, </w:t>
      </w:r>
      <w:r w:rsidRPr="00071A5F">
        <w:t>может сохраняться и при отсутствии последовательного ряда материальных памятников</w:t>
      </w:r>
      <w:r>
        <w:t xml:space="preserve">, </w:t>
      </w:r>
      <w:r w:rsidRPr="00071A5F">
        <w:t>фиксирующих те или иные формы.</w:t>
      </w:r>
    </w:p>
    <w:p w:rsidR="005F6D5D" w:rsidRPr="00071A5F" w:rsidRDefault="005F6D5D" w:rsidP="005F6D5D">
      <w:pPr>
        <w:spacing w:before="120"/>
        <w:ind w:firstLine="567"/>
        <w:jc w:val="both"/>
      </w:pPr>
      <w:r w:rsidRPr="00071A5F">
        <w:t>Наиболее знаменитые ирландские манускрипты раннего средневековья представляют собой Евангелия</w:t>
      </w:r>
      <w:r>
        <w:t xml:space="preserve">, </w:t>
      </w:r>
      <w:r w:rsidRPr="00071A5F">
        <w:t>выполненные в монастырских скрипториях. Ирландские монастыри основывались племенными вождями на их землях: Клонард</w:t>
      </w:r>
      <w:r>
        <w:t xml:space="preserve">, </w:t>
      </w:r>
      <w:r w:rsidRPr="00071A5F">
        <w:t>Бангор</w:t>
      </w:r>
      <w:r>
        <w:t xml:space="preserve">, </w:t>
      </w:r>
      <w:r w:rsidRPr="00071A5F">
        <w:t>Иона. Главной задачей монастырей раннего средневековья было служение Богу и распространение просвещения. В одном из сочинений Кассиодора Сенатора («Виварий»</w:t>
      </w:r>
      <w:r>
        <w:t xml:space="preserve">, </w:t>
      </w:r>
      <w:r w:rsidRPr="00071A5F">
        <w:t>VI в.) рассказывается о порядке и назначении христианского монастыря</w:t>
      </w:r>
      <w:r>
        <w:t xml:space="preserve">, </w:t>
      </w:r>
      <w:r w:rsidRPr="00071A5F">
        <w:t>обязательно включающего скрипторий</w:t>
      </w:r>
      <w:r>
        <w:t xml:space="preserve">, </w:t>
      </w:r>
      <w:r w:rsidRPr="00071A5F">
        <w:t xml:space="preserve">библиотеку и школу и являющегося главном местом воспитания христианской интеллигенции. В </w:t>
      </w:r>
      <w:smartTag w:uri="urn:schemas-microsoft-com:office:smarttags" w:element="metricconverter">
        <w:smartTagPr>
          <w:attr w:name="ProductID" w:val="529 г"/>
        </w:smartTagPr>
        <w:r w:rsidRPr="00071A5F">
          <w:t>529 г</w:t>
        </w:r>
      </w:smartTag>
      <w:r w:rsidRPr="00071A5F">
        <w:t>. Бенедиктом Нурсийским был составлен монастырский устав «Regula magistri»</w:t>
      </w:r>
      <w:r>
        <w:t xml:space="preserve">, </w:t>
      </w:r>
      <w:r w:rsidRPr="00071A5F">
        <w:t>предписывающий наравне с молитвой сельскохозяйственный труд. Известны были также уставы св. Антония</w:t>
      </w:r>
      <w:r>
        <w:t xml:space="preserve">, </w:t>
      </w:r>
      <w:r w:rsidRPr="00071A5F">
        <w:t>Пахомия Великого (</w:t>
      </w:r>
      <w:smartTag w:uri="urn:schemas-microsoft-com:office:smarttags" w:element="metricconverter">
        <w:smartTagPr>
          <w:attr w:name="ProductID" w:val="322 г"/>
        </w:smartTagPr>
        <w:r w:rsidRPr="00071A5F">
          <w:t>322 г</w:t>
        </w:r>
      </w:smartTag>
      <w:r w:rsidRPr="00071A5F">
        <w:t>.)</w:t>
      </w:r>
      <w:r>
        <w:t xml:space="preserve">, </w:t>
      </w:r>
      <w:r w:rsidRPr="00071A5F">
        <w:t>св. Василия Кесарийского. Обитатели ирландских монастырей</w:t>
      </w:r>
      <w:r>
        <w:t xml:space="preserve">, </w:t>
      </w:r>
      <w:r w:rsidRPr="00071A5F">
        <w:t>в основном</w:t>
      </w:r>
      <w:r>
        <w:t xml:space="preserve">, </w:t>
      </w:r>
      <w:r w:rsidRPr="00071A5F">
        <w:t>культивировали богослужебную</w:t>
      </w:r>
      <w:r>
        <w:t xml:space="preserve">, </w:t>
      </w:r>
      <w:r w:rsidRPr="00071A5F">
        <w:t>созерцательную и интеллектуальную деятельность. Утонченное знание латыни приобретало здесь гипертрофированные формы: литературный язык приобретал такую пышность и вычурность</w:t>
      </w:r>
      <w:r>
        <w:t xml:space="preserve">, </w:t>
      </w:r>
      <w:r w:rsidRPr="00071A5F">
        <w:t>что почти полностью утрачивал связь с живой традицией [Уколова 1989: 169-195]. Не менее изощренной была традиция иллюминирования рукописей. До нашего времени дошли</w:t>
      </w:r>
      <w:r>
        <w:t xml:space="preserve">, </w:t>
      </w:r>
      <w:r w:rsidRPr="00071A5F">
        <w:t>в основном</w:t>
      </w:r>
      <w:r>
        <w:t xml:space="preserve">, </w:t>
      </w:r>
      <w:r w:rsidRPr="00071A5F">
        <w:t xml:space="preserve">Евангелия со сложным орнаментальным декором. </w:t>
      </w:r>
    </w:p>
    <w:p w:rsidR="005F6D5D" w:rsidRPr="00071A5F" w:rsidRDefault="005F6D5D" w:rsidP="005F6D5D">
      <w:pPr>
        <w:spacing w:before="120"/>
        <w:ind w:firstLine="567"/>
        <w:jc w:val="both"/>
      </w:pPr>
      <w:r w:rsidRPr="00071A5F">
        <w:t>С точки зрения текстового содержания</w:t>
      </w:r>
      <w:r>
        <w:t xml:space="preserve">, </w:t>
      </w:r>
      <w:r w:rsidRPr="00071A5F">
        <w:t>большинство манускриптов представляли собой латинский перевод Четвероевангелия IV в.</w:t>
      </w:r>
      <w:r>
        <w:t xml:space="preserve">, </w:t>
      </w:r>
      <w:r w:rsidRPr="00071A5F">
        <w:t>составленный св. Иеронимом (так называемая Вульгата)</w:t>
      </w:r>
      <w:r>
        <w:t xml:space="preserve">, </w:t>
      </w:r>
      <w:r w:rsidRPr="00071A5F">
        <w:t>хотя</w:t>
      </w:r>
      <w:r>
        <w:t xml:space="preserve">, </w:t>
      </w:r>
      <w:r w:rsidRPr="00071A5F">
        <w:t>в некоторых случаях</w:t>
      </w:r>
      <w:r>
        <w:t xml:space="preserve">, </w:t>
      </w:r>
      <w:r w:rsidRPr="00071A5F">
        <w:t>в тексте присутствуют единичные включения из старого до-иеронимовского латинского перевода. Кроме переводов Четвероевангелия как отдельных книг в эпоху раннего средневековья существовал смешанный вариант евангельского повествования</w:t>
      </w:r>
      <w:r>
        <w:t xml:space="preserve">, </w:t>
      </w:r>
      <w:r w:rsidRPr="00071A5F">
        <w:t>подготовленный во II в. Тацианом. Этот евангельский свод назывался Диатессарон и представлял собой изложение Евангелия по всем четырем евангелистам с исключением родословий Спасителя</w:t>
      </w:r>
      <w:r>
        <w:t xml:space="preserve">, </w:t>
      </w:r>
      <w:r w:rsidRPr="00071A5F">
        <w:t>встречающихся у Матфея и Луки</w:t>
      </w:r>
      <w:r>
        <w:t xml:space="preserve">, </w:t>
      </w:r>
      <w:r w:rsidRPr="00071A5F">
        <w:t>а также всех тех мест</w:t>
      </w:r>
      <w:r>
        <w:t xml:space="preserve">, </w:t>
      </w:r>
      <w:r w:rsidRPr="00071A5F">
        <w:t>где говорится о происхождении Христа от библейского царя Давида. Данный свод имел широкое распространение в Сирии</w:t>
      </w:r>
      <w:r>
        <w:t xml:space="preserve">, </w:t>
      </w:r>
      <w:r w:rsidRPr="00071A5F">
        <w:t>но неоднократно осуждался церковными иерархами за систему тенденционных купюр текста</w:t>
      </w:r>
      <w:r>
        <w:t xml:space="preserve">, </w:t>
      </w:r>
      <w:r w:rsidRPr="00071A5F">
        <w:t>которая расценивалась как свидетельство приверженности еретическим взглядам. В некоторых случаях сирийский свод Тациана называют даже «Евангелием от Евреев». Несмотря на подобную оценку Диатессароном довольно широко пользовались как сокращенным вариантом Евангелия</w:t>
      </w:r>
      <w:r>
        <w:t xml:space="preserve">, </w:t>
      </w:r>
      <w:r w:rsidRPr="00071A5F">
        <w:t>а прославленный восточный подвижник Ефрем Сирин даже оставил Толкование на Диатессарон (Четвероевангелие)</w:t>
      </w:r>
      <w:r>
        <w:t xml:space="preserve">, </w:t>
      </w:r>
      <w:r w:rsidRPr="00071A5F">
        <w:t>принимаемое Церковью. Кроме сводного Евангелия Тациана в древности был известен также Диатессарон Аммония Александрийского</w:t>
      </w:r>
      <w:r>
        <w:t xml:space="preserve">, </w:t>
      </w:r>
      <w:r w:rsidRPr="00071A5F">
        <w:t>представлявшего собой Евангелие от Матфея</w:t>
      </w:r>
      <w:r>
        <w:t xml:space="preserve">, </w:t>
      </w:r>
      <w:r w:rsidRPr="00071A5F">
        <w:t>дополненного главами других евангелистов</w:t>
      </w:r>
      <w:r>
        <w:t xml:space="preserve">, </w:t>
      </w:r>
      <w:r w:rsidRPr="00071A5F">
        <w:t>приписанными с боку</w:t>
      </w:r>
      <w:r>
        <w:t xml:space="preserve">, </w:t>
      </w:r>
      <w:r w:rsidRPr="00071A5F">
        <w:t>как об этом свидетельствует письмо Евсевия Кесарийского – автора Канонов Согласия – к Карпиану. Оба евангельских свода были построены на тексте канонического сирийского перевода Пешито</w:t>
      </w:r>
      <w:r>
        <w:t xml:space="preserve">, </w:t>
      </w:r>
      <w:r w:rsidRPr="00071A5F">
        <w:t>хотя в некоторых списках Диатессарона допускаются включения древнейшего сирийского варианта текста</w:t>
      </w:r>
      <w:r>
        <w:t xml:space="preserve">, </w:t>
      </w:r>
      <w:r w:rsidRPr="00071A5F">
        <w:t>предшествовавшего Пешито.</w:t>
      </w:r>
    </w:p>
    <w:p w:rsidR="005F6D5D" w:rsidRPr="00071A5F" w:rsidRDefault="005F6D5D" w:rsidP="005F6D5D">
      <w:pPr>
        <w:spacing w:before="120"/>
        <w:ind w:firstLine="567"/>
        <w:jc w:val="both"/>
      </w:pPr>
      <w:r w:rsidRPr="00071A5F">
        <w:t>Наиболее ранний перечень канонических книг II в. включал четыре Евангелия</w:t>
      </w:r>
      <w:r>
        <w:t xml:space="preserve">, </w:t>
      </w:r>
      <w:r w:rsidRPr="00071A5F">
        <w:t>Деяния Апостолов</w:t>
      </w:r>
      <w:r>
        <w:t xml:space="preserve">, </w:t>
      </w:r>
      <w:r w:rsidRPr="00071A5F">
        <w:t>послания Апостола Павла (кроме Послания к Евреям)</w:t>
      </w:r>
      <w:r>
        <w:t xml:space="preserve">, </w:t>
      </w:r>
      <w:r w:rsidRPr="00071A5F">
        <w:t>Первое Послание Петра</w:t>
      </w:r>
      <w:r>
        <w:t xml:space="preserve">, </w:t>
      </w:r>
      <w:r w:rsidRPr="00071A5F">
        <w:t>Первое – Иоанна и Апокалипсис. В IV в. все известные нам канонические книги были признаны Церковью</w:t>
      </w:r>
      <w:r>
        <w:t xml:space="preserve">, </w:t>
      </w:r>
      <w:r w:rsidRPr="00071A5F">
        <w:t>но окончательно исключены из канонического списка евангелия «от Евреев»</w:t>
      </w:r>
      <w:r>
        <w:t xml:space="preserve">, </w:t>
      </w:r>
      <w:r w:rsidRPr="00071A5F">
        <w:t>«от Египтян»</w:t>
      </w:r>
      <w:r>
        <w:t xml:space="preserve">, </w:t>
      </w:r>
      <w:r w:rsidRPr="00071A5F">
        <w:t>«от Никодима»</w:t>
      </w:r>
      <w:r>
        <w:t xml:space="preserve">, </w:t>
      </w:r>
      <w:r w:rsidRPr="00071A5F">
        <w:t>«от Фомы»; «Деяния Павла» и «Апокалипсис Петра» [Смирнов 1997: 76].</w:t>
      </w:r>
    </w:p>
    <w:p w:rsidR="005F6D5D" w:rsidRPr="00071A5F" w:rsidRDefault="005F6D5D" w:rsidP="005F6D5D">
      <w:pPr>
        <w:spacing w:before="120"/>
        <w:ind w:firstLine="567"/>
        <w:jc w:val="both"/>
      </w:pPr>
      <w:r w:rsidRPr="00071A5F">
        <w:t>В некоторых случаях</w:t>
      </w:r>
      <w:r>
        <w:t xml:space="preserve">, </w:t>
      </w:r>
      <w:r w:rsidRPr="00071A5F">
        <w:t>можно говорить об отдаленной связи текстов ирландских Евангелий с традицией сирийских Диатессаронов</w:t>
      </w:r>
      <w:r>
        <w:t xml:space="preserve">, </w:t>
      </w:r>
      <w:r w:rsidRPr="00071A5F">
        <w:t>хотя подобная связь</w:t>
      </w:r>
      <w:r>
        <w:t xml:space="preserve">, </w:t>
      </w:r>
      <w:r w:rsidRPr="00071A5F">
        <w:t>чаще всего</w:t>
      </w:r>
      <w:r>
        <w:t xml:space="preserve">, </w:t>
      </w:r>
      <w:r w:rsidRPr="00071A5F">
        <w:t>оказывается полемической. Например</w:t>
      </w:r>
      <w:r>
        <w:t xml:space="preserve">, </w:t>
      </w:r>
      <w:r w:rsidRPr="00071A5F">
        <w:t>в Евангелие из Келлса списки имен родословия Спасителя не только выделены особо</w:t>
      </w:r>
      <w:r>
        <w:t xml:space="preserve">, </w:t>
      </w:r>
      <w:r w:rsidRPr="00071A5F">
        <w:t>но представляют как бы самостоятельную изолированную часть священного текста. При этом вступительные части Евангелий</w:t>
      </w:r>
      <w:r>
        <w:t xml:space="preserve">, </w:t>
      </w:r>
      <w:r w:rsidRPr="00071A5F">
        <w:t>называемые Breves causae (краткое содержание глав) и Argumenta (жития евангелистов) в некоторых случаях соответствуют каждому Евангелию по отдельности</w:t>
      </w:r>
      <w:r>
        <w:t xml:space="preserve">, </w:t>
      </w:r>
      <w:r w:rsidRPr="00071A5F">
        <w:t>а иногда – объединяются вместе. Например</w:t>
      </w:r>
      <w:r>
        <w:t xml:space="preserve">, </w:t>
      </w:r>
      <w:r w:rsidRPr="00071A5F">
        <w:t xml:space="preserve">в Евангелии Дарроу (ок. </w:t>
      </w:r>
      <w:smartTag w:uri="urn:schemas-microsoft-com:office:smarttags" w:element="metricconverter">
        <w:smartTagPr>
          <w:attr w:name="ProductID" w:val="680 г"/>
        </w:smartTagPr>
        <w:r w:rsidRPr="00071A5F">
          <w:t>680 г</w:t>
        </w:r>
      </w:smartTag>
      <w:r w:rsidRPr="00071A5F">
        <w:t>.) – одном из древнейших евангельских манускриптов Ирландии – таким образом объединены вступительные части Евангелий от Луки и Иоанна.</w:t>
      </w:r>
    </w:p>
    <w:p w:rsidR="005F6D5D" w:rsidRPr="00071A5F" w:rsidRDefault="005F6D5D" w:rsidP="005F6D5D">
      <w:pPr>
        <w:spacing w:before="120"/>
        <w:ind w:firstLine="567"/>
        <w:jc w:val="both"/>
      </w:pPr>
      <w:r w:rsidRPr="00071A5F">
        <w:t>Говоря о составе манускриптов</w:t>
      </w:r>
      <w:r>
        <w:t xml:space="preserve">, </w:t>
      </w:r>
      <w:r w:rsidRPr="00071A5F">
        <w:t>кроме Канонов Согласия св. Евсевия</w:t>
      </w:r>
      <w:r>
        <w:t xml:space="preserve">, </w:t>
      </w:r>
      <w:r w:rsidRPr="00071A5F">
        <w:t>Breves causae и Argumenta</w:t>
      </w:r>
      <w:r>
        <w:t xml:space="preserve">, </w:t>
      </w:r>
      <w:r w:rsidRPr="00071A5F">
        <w:t>евангельский текст мог предваряться двумя посланиями – св. Иеронима к папе Дамасу I о целях нового латинского перевода и Евсевия Кесарийского к Карпиану о пользовании таблицами канонов. Последний текст</w:t>
      </w:r>
      <w:r>
        <w:t xml:space="preserve">, </w:t>
      </w:r>
      <w:r w:rsidRPr="00071A5F">
        <w:t>в отличие от византийской традиции</w:t>
      </w:r>
      <w:r>
        <w:t xml:space="preserve">, </w:t>
      </w:r>
      <w:r w:rsidRPr="00071A5F">
        <w:t>в ирландских манускриптах встречается крайне редко и именно в тех манускриптах</w:t>
      </w:r>
      <w:r>
        <w:t xml:space="preserve">, </w:t>
      </w:r>
      <w:r w:rsidRPr="00071A5F">
        <w:t>где заметно средиземноморское влияние (Евангелие из Линдисфарна). Тексты посланий</w:t>
      </w:r>
      <w:r>
        <w:t xml:space="preserve">, </w:t>
      </w:r>
      <w:r w:rsidRPr="00071A5F">
        <w:t>являясь вводной частью книги</w:t>
      </w:r>
      <w:r>
        <w:t xml:space="preserve">, </w:t>
      </w:r>
      <w:r w:rsidRPr="00071A5F">
        <w:t>как и таблицы канонов</w:t>
      </w:r>
      <w:r>
        <w:t xml:space="preserve">, </w:t>
      </w:r>
      <w:r w:rsidRPr="00071A5F">
        <w:t xml:space="preserve">обычно богато украшались. </w:t>
      </w:r>
    </w:p>
    <w:p w:rsidR="005F6D5D" w:rsidRPr="00071A5F" w:rsidRDefault="005F6D5D" w:rsidP="005F6D5D">
      <w:pPr>
        <w:spacing w:before="120"/>
        <w:ind w:firstLine="567"/>
        <w:jc w:val="both"/>
      </w:pPr>
      <w:r w:rsidRPr="00071A5F">
        <w:t>Ирландские Евангелия</w:t>
      </w:r>
      <w:r>
        <w:t xml:space="preserve">, </w:t>
      </w:r>
      <w:r w:rsidRPr="00071A5F">
        <w:t>предлагая в качестве основного художественного материала беспредметный изобразительный ряд</w:t>
      </w:r>
      <w:r>
        <w:t xml:space="preserve">, </w:t>
      </w:r>
      <w:r w:rsidRPr="00071A5F">
        <w:t>могут быть связаны с сиро-коптской традицией. При чем – не с традицией фигуративных изображений</w:t>
      </w:r>
      <w:r>
        <w:t xml:space="preserve">, </w:t>
      </w:r>
      <w:r w:rsidRPr="00071A5F">
        <w:t>в большей или меньшей степени обусловленной эллинистическими влияниями</w:t>
      </w:r>
      <w:r>
        <w:t xml:space="preserve">, </w:t>
      </w:r>
      <w:r w:rsidRPr="00071A5F">
        <w:t>а с орнаментом и концепцией размещения композиции на плоскости</w:t>
      </w:r>
      <w:r>
        <w:t xml:space="preserve">, </w:t>
      </w:r>
      <w:r w:rsidRPr="00071A5F">
        <w:t>которая сформировалась уже в позднеантичном искусстве Северной Африки</w:t>
      </w:r>
      <w:r>
        <w:t xml:space="preserve">, </w:t>
      </w:r>
      <w:r w:rsidRPr="00071A5F">
        <w:t>Сирии и Иордании [Lavin 1963: 179-286]. Контакты с Востоком</w:t>
      </w:r>
      <w:r>
        <w:t xml:space="preserve">, </w:t>
      </w:r>
      <w:r w:rsidRPr="00071A5F">
        <w:t>возможно</w:t>
      </w:r>
      <w:r>
        <w:t xml:space="preserve">, </w:t>
      </w:r>
      <w:r w:rsidRPr="00071A5F">
        <w:t>торговля предметами декоративно-прикладного искусства и узорными тканями могли быть связующим звеном между ирландской и сирийской культурой. Хотелось бы отметить</w:t>
      </w:r>
      <w:r>
        <w:t xml:space="preserve">, </w:t>
      </w:r>
      <w:r w:rsidRPr="00071A5F">
        <w:t>что</w:t>
      </w:r>
      <w:r>
        <w:t xml:space="preserve">, </w:t>
      </w:r>
      <w:r w:rsidRPr="00071A5F">
        <w:t>видимо</w:t>
      </w:r>
      <w:r>
        <w:t xml:space="preserve">, </w:t>
      </w:r>
      <w:r w:rsidRPr="00071A5F">
        <w:t>не географические или политические причины способствовали усвоению восточных мотивов в Ирландии</w:t>
      </w:r>
      <w:r>
        <w:t xml:space="preserve">, </w:t>
      </w:r>
      <w:r w:rsidRPr="00071A5F">
        <w:t>но та благотворная почва местной художественной традиции</w:t>
      </w:r>
      <w:r>
        <w:t xml:space="preserve">, </w:t>
      </w:r>
      <w:r w:rsidRPr="00071A5F">
        <w:t>чуждая эллинистических воздействий</w:t>
      </w:r>
      <w:r>
        <w:t xml:space="preserve">, </w:t>
      </w:r>
      <w:r w:rsidRPr="00071A5F">
        <w:t>не связанная с галло-римским синкретизмом</w:t>
      </w:r>
      <w:r>
        <w:t xml:space="preserve">, </w:t>
      </w:r>
      <w:r w:rsidRPr="00071A5F">
        <w:t>которая легко адаптировала сродные элементы</w:t>
      </w:r>
      <w:r>
        <w:t xml:space="preserve">, </w:t>
      </w:r>
      <w:r w:rsidRPr="00071A5F">
        <w:t>независимо от их происхождения [Шкунаев 1983: 94]. Так</w:t>
      </w:r>
      <w:r>
        <w:t xml:space="preserve">, </w:t>
      </w:r>
      <w:r w:rsidRPr="00071A5F">
        <w:t>весьма распространенным элементом является полностраничное изображение Креста в широкой орнаментированной рамке</w:t>
      </w:r>
      <w:r>
        <w:t xml:space="preserve">, </w:t>
      </w:r>
      <w:r w:rsidRPr="00071A5F">
        <w:t>которое также встречается в коптской миниатюре и</w:t>
      </w:r>
      <w:r>
        <w:t xml:space="preserve">, </w:t>
      </w:r>
      <w:r w:rsidRPr="00071A5F">
        <w:t>в несколько редуцированном виде</w:t>
      </w:r>
      <w:r>
        <w:t xml:space="preserve">, </w:t>
      </w:r>
      <w:r w:rsidRPr="00071A5F">
        <w:t>в армянской рукописной книге.</w:t>
      </w:r>
    </w:p>
    <w:p w:rsidR="005F6D5D" w:rsidRPr="00071A5F" w:rsidRDefault="005F6D5D" w:rsidP="005F6D5D">
      <w:pPr>
        <w:spacing w:before="120"/>
        <w:ind w:firstLine="567"/>
        <w:jc w:val="both"/>
      </w:pPr>
      <w:r w:rsidRPr="00071A5F">
        <w:t>Ирландскую миниатюру отличает от других раннесредневековых школ иллюминирования наличие так называемых «ковровых страниц» и полностраничных инициалов</w:t>
      </w:r>
      <w:r>
        <w:t xml:space="preserve">, </w:t>
      </w:r>
      <w:r w:rsidRPr="00071A5F">
        <w:t>а также уникальная иконография и композиция орнамента.</w:t>
      </w:r>
    </w:p>
    <w:p w:rsidR="005F6D5D" w:rsidRPr="00D81E04" w:rsidRDefault="005F6D5D" w:rsidP="005F6D5D">
      <w:pPr>
        <w:spacing w:before="120"/>
        <w:jc w:val="center"/>
        <w:rPr>
          <w:b/>
          <w:sz w:val="28"/>
        </w:rPr>
      </w:pPr>
      <w:r w:rsidRPr="00D81E04">
        <w:rPr>
          <w:b/>
          <w:sz w:val="28"/>
        </w:rPr>
        <w:t>Список литературы</w:t>
      </w:r>
    </w:p>
    <w:p w:rsidR="005F6D5D" w:rsidRPr="00071A5F" w:rsidRDefault="005F6D5D" w:rsidP="005F6D5D">
      <w:pPr>
        <w:spacing w:before="120"/>
        <w:ind w:firstLine="567"/>
        <w:jc w:val="both"/>
      </w:pPr>
      <w:r w:rsidRPr="00071A5F">
        <w:t>Арган</w:t>
      </w:r>
      <w:r>
        <w:t xml:space="preserve">, </w:t>
      </w:r>
      <w:r w:rsidRPr="00071A5F">
        <w:t>Дж. К. Поэтика Боттичелли // Боттичелли. Сб. материалов о творчестве. – М.</w:t>
      </w:r>
      <w:r>
        <w:t xml:space="preserve">, </w:t>
      </w:r>
      <w:r w:rsidRPr="00071A5F">
        <w:t>1962. – С. 37–49.</w:t>
      </w:r>
    </w:p>
    <w:p w:rsidR="005F6D5D" w:rsidRPr="00071A5F" w:rsidRDefault="005F6D5D" w:rsidP="005F6D5D">
      <w:pPr>
        <w:spacing w:before="120"/>
        <w:ind w:firstLine="567"/>
        <w:jc w:val="both"/>
      </w:pPr>
      <w:r w:rsidRPr="00071A5F">
        <w:t>Баткин</w:t>
      </w:r>
      <w:r>
        <w:t xml:space="preserve">, </w:t>
      </w:r>
      <w:r w:rsidRPr="00071A5F">
        <w:t>Л. М. Леонардо да Винчи и особенности ренессансного мышления / Л. М. Баткин. – М.: Искусство</w:t>
      </w:r>
      <w:r>
        <w:t xml:space="preserve">, </w:t>
      </w:r>
      <w:r w:rsidRPr="00071A5F">
        <w:t>1990.</w:t>
      </w:r>
    </w:p>
    <w:p w:rsidR="005F6D5D" w:rsidRPr="00071A5F" w:rsidRDefault="005F6D5D" w:rsidP="005F6D5D">
      <w:pPr>
        <w:spacing w:before="120"/>
        <w:ind w:firstLine="567"/>
        <w:jc w:val="both"/>
      </w:pPr>
      <w:r w:rsidRPr="00071A5F">
        <w:t>Бахтин</w:t>
      </w:r>
      <w:r>
        <w:t xml:space="preserve">, </w:t>
      </w:r>
      <w:r w:rsidRPr="00071A5F">
        <w:t>М. М. Творчество Франсуа Рабле и народная культура средневековья и ренессанса / М. М. Бахтин. – М.</w:t>
      </w:r>
      <w:r>
        <w:t xml:space="preserve">, </w:t>
      </w:r>
      <w:r w:rsidRPr="00071A5F">
        <w:t>1965.</w:t>
      </w:r>
    </w:p>
    <w:p w:rsidR="005F6D5D" w:rsidRPr="00071A5F" w:rsidRDefault="005F6D5D" w:rsidP="005F6D5D">
      <w:pPr>
        <w:spacing w:before="120"/>
        <w:ind w:firstLine="567"/>
        <w:jc w:val="both"/>
      </w:pPr>
      <w:r w:rsidRPr="00071A5F">
        <w:t>Вельфлин</w:t>
      </w:r>
      <w:r>
        <w:t xml:space="preserve">, </w:t>
      </w:r>
      <w:r w:rsidRPr="00071A5F">
        <w:t>Г. Искусство Италии и Германии эпохи Ренессанса / Г. Вельфлин. – Л.</w:t>
      </w:r>
      <w:r>
        <w:t xml:space="preserve">, </w:t>
      </w:r>
      <w:r w:rsidRPr="00071A5F">
        <w:t>1934.</w:t>
      </w:r>
    </w:p>
    <w:p w:rsidR="005F6D5D" w:rsidRPr="00071A5F" w:rsidRDefault="005F6D5D" w:rsidP="005F6D5D">
      <w:pPr>
        <w:spacing w:before="120"/>
        <w:ind w:firstLine="567"/>
        <w:jc w:val="both"/>
      </w:pPr>
      <w:r w:rsidRPr="00071A5F">
        <w:t>Гуковский</w:t>
      </w:r>
      <w:r>
        <w:t xml:space="preserve">, </w:t>
      </w:r>
      <w:r w:rsidRPr="00071A5F">
        <w:t>М. А. Леонардо да Винчи. Творческая биография / М. А. Гуковский. – Л.;М.: Искусство</w:t>
      </w:r>
      <w:r>
        <w:t xml:space="preserve">, </w:t>
      </w:r>
      <w:r w:rsidRPr="00071A5F">
        <w:t>1958. – 172 с.</w:t>
      </w:r>
    </w:p>
    <w:p w:rsidR="005F6D5D" w:rsidRPr="00071A5F" w:rsidRDefault="005F6D5D" w:rsidP="005F6D5D">
      <w:pPr>
        <w:spacing w:before="120"/>
        <w:ind w:firstLine="567"/>
        <w:jc w:val="both"/>
      </w:pPr>
      <w:r w:rsidRPr="00071A5F">
        <w:t>Гуревич</w:t>
      </w:r>
      <w:r>
        <w:t xml:space="preserve">, </w:t>
      </w:r>
      <w:r w:rsidRPr="00071A5F">
        <w:t>А. Я. Проблемы средневековой народной культуры / А. Я. Гуревич. – М.</w:t>
      </w:r>
      <w:r>
        <w:t xml:space="preserve">, </w:t>
      </w:r>
      <w:r w:rsidRPr="00071A5F">
        <w:t>1981.</w:t>
      </w:r>
    </w:p>
    <w:p w:rsidR="005F6D5D" w:rsidRPr="00071A5F" w:rsidRDefault="005F6D5D" w:rsidP="005F6D5D">
      <w:pPr>
        <w:spacing w:before="120"/>
        <w:ind w:firstLine="567"/>
        <w:jc w:val="both"/>
      </w:pPr>
      <w:r w:rsidRPr="00071A5F">
        <w:t>Дунаев</w:t>
      </w:r>
      <w:r>
        <w:t xml:space="preserve">, </w:t>
      </w:r>
      <w:r w:rsidRPr="00071A5F">
        <w:t>Г. С. Сандро Боттичелли / Г. С. Дунаев. – М.</w:t>
      </w:r>
      <w:r>
        <w:t xml:space="preserve">, </w:t>
      </w:r>
      <w:r w:rsidRPr="00071A5F">
        <w:t>1977.</w:t>
      </w:r>
    </w:p>
    <w:p w:rsidR="005F6D5D" w:rsidRPr="00071A5F" w:rsidRDefault="005F6D5D" w:rsidP="005F6D5D">
      <w:pPr>
        <w:spacing w:before="120"/>
        <w:ind w:firstLine="567"/>
        <w:jc w:val="both"/>
      </w:pPr>
      <w:r w:rsidRPr="00071A5F">
        <w:t>Зубов</w:t>
      </w:r>
      <w:r>
        <w:t xml:space="preserve">, </w:t>
      </w:r>
      <w:r w:rsidRPr="00071A5F">
        <w:t>В. П. Труды по истории и теории архитектуры. Библиотека журнала «Искусствознание» / В. П. Зубов. – М.: Искусствознание</w:t>
      </w:r>
      <w:r>
        <w:t xml:space="preserve">, </w:t>
      </w:r>
      <w:r w:rsidRPr="00071A5F">
        <w:t>2000. – С. 149–374.</w:t>
      </w:r>
    </w:p>
    <w:p w:rsidR="005F6D5D" w:rsidRPr="00071A5F" w:rsidRDefault="005F6D5D" w:rsidP="005F6D5D">
      <w:pPr>
        <w:spacing w:before="120"/>
        <w:ind w:firstLine="567"/>
        <w:jc w:val="both"/>
      </w:pPr>
      <w:r w:rsidRPr="00071A5F">
        <w:t>Колпакова</w:t>
      </w:r>
      <w:r>
        <w:t xml:space="preserve">, </w:t>
      </w:r>
      <w:r w:rsidRPr="00071A5F">
        <w:t>Г. С. Искусство Византии. Ранний и средний периоды / Г. С. Колпакова. – СПб.: Азбука классика</w:t>
      </w:r>
      <w:r>
        <w:t xml:space="preserve">, </w:t>
      </w:r>
      <w:r w:rsidRPr="00071A5F">
        <w:t>2004. – 528 с.</w:t>
      </w:r>
    </w:p>
    <w:p w:rsidR="005F6D5D" w:rsidRPr="00071A5F" w:rsidRDefault="005F6D5D" w:rsidP="005F6D5D">
      <w:pPr>
        <w:spacing w:before="120"/>
        <w:ind w:firstLine="567"/>
        <w:jc w:val="both"/>
      </w:pPr>
      <w:r w:rsidRPr="00071A5F">
        <w:t>Колпакова</w:t>
      </w:r>
      <w:r>
        <w:t xml:space="preserve">, </w:t>
      </w:r>
      <w:r w:rsidRPr="00071A5F">
        <w:t>Г. С. Искусство Византии. Поздний период / Г. С. Колпакова. – СПб.: Азбука классика</w:t>
      </w:r>
      <w:r>
        <w:t xml:space="preserve">, </w:t>
      </w:r>
      <w:r w:rsidRPr="00071A5F">
        <w:t>2004. – 320 с.</w:t>
      </w:r>
    </w:p>
    <w:p w:rsidR="005F6D5D" w:rsidRPr="00071A5F" w:rsidRDefault="005F6D5D" w:rsidP="005F6D5D">
      <w:pPr>
        <w:spacing w:before="120"/>
        <w:ind w:firstLine="567"/>
        <w:jc w:val="both"/>
      </w:pPr>
      <w:r w:rsidRPr="00071A5F">
        <w:t>Лазарев</w:t>
      </w:r>
      <w:r>
        <w:t xml:space="preserve">, </w:t>
      </w:r>
      <w:r w:rsidRPr="00071A5F">
        <w:t>В. Н. История византийской живописи / В. Н. Лазарев. – М.: Искусство</w:t>
      </w:r>
      <w:r>
        <w:t xml:space="preserve">, </w:t>
      </w:r>
      <w:r w:rsidRPr="00071A5F">
        <w:t>1986.</w:t>
      </w:r>
    </w:p>
    <w:p w:rsidR="005F6D5D" w:rsidRPr="00071A5F" w:rsidRDefault="005F6D5D" w:rsidP="005F6D5D">
      <w:pPr>
        <w:spacing w:before="120"/>
        <w:ind w:firstLine="567"/>
        <w:jc w:val="both"/>
      </w:pPr>
      <w:r w:rsidRPr="00071A5F">
        <w:t>Лазарев</w:t>
      </w:r>
      <w:r>
        <w:t xml:space="preserve">, </w:t>
      </w:r>
      <w:r w:rsidRPr="00071A5F">
        <w:t>В. Н. История византийской живописи / В. Н. Лазарев. – М.: Искусство</w:t>
      </w:r>
      <w:r>
        <w:t xml:space="preserve">, </w:t>
      </w:r>
      <w:r w:rsidRPr="00071A5F">
        <w:t>1947.</w:t>
      </w:r>
    </w:p>
    <w:p w:rsidR="005F6D5D" w:rsidRPr="00071A5F" w:rsidRDefault="005F6D5D" w:rsidP="005F6D5D">
      <w:pPr>
        <w:spacing w:before="120"/>
        <w:ind w:firstLine="567"/>
        <w:jc w:val="both"/>
      </w:pPr>
      <w:r w:rsidRPr="00071A5F">
        <w:t>Лебек</w:t>
      </w:r>
      <w:r>
        <w:t xml:space="preserve">, </w:t>
      </w:r>
      <w:r w:rsidRPr="00071A5F">
        <w:t>Ст. Происхождение Франков. V-IX вв. / Ст. Лебек. – М.: Скарабей</w:t>
      </w:r>
      <w:r>
        <w:t xml:space="preserve">, </w:t>
      </w:r>
      <w:r w:rsidRPr="00071A5F">
        <w:t>1993. – 352 с.</w:t>
      </w:r>
    </w:p>
    <w:p w:rsidR="005F6D5D" w:rsidRPr="00071A5F" w:rsidRDefault="005F6D5D" w:rsidP="005F6D5D">
      <w:pPr>
        <w:spacing w:before="120"/>
        <w:ind w:firstLine="567"/>
        <w:jc w:val="both"/>
      </w:pPr>
      <w:r w:rsidRPr="00071A5F">
        <w:t>Лихачева</w:t>
      </w:r>
      <w:r>
        <w:t xml:space="preserve">, </w:t>
      </w:r>
      <w:r w:rsidRPr="00071A5F">
        <w:t>В. Д. Византийская миниатюра: памятники византийской миниатюры IX-XV вв. в собраниях Советского союза / В. Д. Лихачева. – М.</w:t>
      </w:r>
      <w:r>
        <w:t xml:space="preserve">, </w:t>
      </w:r>
      <w:r w:rsidRPr="00071A5F">
        <w:t>1977.</w:t>
      </w:r>
    </w:p>
    <w:p w:rsidR="005F6D5D" w:rsidRPr="00071A5F" w:rsidRDefault="005F6D5D" w:rsidP="005F6D5D">
      <w:pPr>
        <w:spacing w:before="120"/>
        <w:ind w:firstLine="567"/>
        <w:jc w:val="both"/>
      </w:pPr>
      <w:r w:rsidRPr="00071A5F">
        <w:t>Майская</w:t>
      </w:r>
      <w:r>
        <w:t xml:space="preserve">, </w:t>
      </w:r>
      <w:r w:rsidRPr="00071A5F">
        <w:t>М. И. Пизанелло / М. И. Майская. – М.: Искусство</w:t>
      </w:r>
      <w:r>
        <w:t xml:space="preserve">, </w:t>
      </w:r>
      <w:r w:rsidRPr="00071A5F">
        <w:t>1981. – 208 с.</w:t>
      </w:r>
    </w:p>
    <w:p w:rsidR="005F6D5D" w:rsidRPr="00071A5F" w:rsidRDefault="005F6D5D" w:rsidP="005F6D5D">
      <w:pPr>
        <w:spacing w:before="120"/>
        <w:ind w:firstLine="567"/>
        <w:jc w:val="both"/>
      </w:pPr>
      <w:r w:rsidRPr="00071A5F">
        <w:t>Мартиндейл</w:t>
      </w:r>
      <w:r>
        <w:t xml:space="preserve">, </w:t>
      </w:r>
      <w:r w:rsidRPr="00071A5F">
        <w:t>Э. Готика / Э. Мартиндейл. – М.: Слово</w:t>
      </w:r>
      <w:r>
        <w:t xml:space="preserve">, </w:t>
      </w:r>
      <w:r w:rsidRPr="00071A5F">
        <w:t>2001. – 288 с.</w:t>
      </w:r>
    </w:p>
    <w:p w:rsidR="005F6D5D" w:rsidRPr="00071A5F" w:rsidRDefault="005F6D5D" w:rsidP="005F6D5D">
      <w:pPr>
        <w:spacing w:before="120"/>
        <w:ind w:firstLine="567"/>
        <w:jc w:val="both"/>
      </w:pPr>
      <w:r w:rsidRPr="00071A5F">
        <w:t>Матенадаран. Т. 1. Армянская рукописная книга VI – XIV вв. – М.</w:t>
      </w:r>
      <w:r>
        <w:t xml:space="preserve">, </w:t>
      </w:r>
      <w:r w:rsidRPr="00071A5F">
        <w:t>1991.</w:t>
      </w:r>
    </w:p>
    <w:p w:rsidR="005F6D5D" w:rsidRPr="00071A5F" w:rsidRDefault="005F6D5D" w:rsidP="005F6D5D">
      <w:pPr>
        <w:spacing w:before="120"/>
        <w:ind w:firstLine="567"/>
        <w:jc w:val="both"/>
      </w:pPr>
      <w:r w:rsidRPr="00071A5F">
        <w:t>Муратова</w:t>
      </w:r>
      <w:r>
        <w:t xml:space="preserve">, </w:t>
      </w:r>
      <w:r w:rsidRPr="00071A5F">
        <w:t>К. Средневековый бестиарий / К. Муратова. – М.: Искусство</w:t>
      </w:r>
      <w:r>
        <w:t xml:space="preserve">, </w:t>
      </w:r>
      <w:r w:rsidRPr="00071A5F">
        <w:t>1984.</w:t>
      </w:r>
    </w:p>
    <w:p w:rsidR="005F6D5D" w:rsidRPr="00071A5F" w:rsidRDefault="005F6D5D" w:rsidP="005F6D5D">
      <w:pPr>
        <w:spacing w:before="120"/>
        <w:ind w:firstLine="567"/>
        <w:jc w:val="both"/>
      </w:pPr>
      <w:r w:rsidRPr="00071A5F">
        <w:t>Нессельштраус</w:t>
      </w:r>
      <w:r>
        <w:t xml:space="preserve">, </w:t>
      </w:r>
      <w:r w:rsidRPr="00071A5F">
        <w:t>Ц. Г. Альбрехт Дюрер. 1471–1528 / Ц. Г. Нессельштраус. – Л.;М.: Искусство</w:t>
      </w:r>
      <w:r>
        <w:t xml:space="preserve">, </w:t>
      </w:r>
      <w:r w:rsidRPr="00071A5F">
        <w:t>1961.</w:t>
      </w:r>
    </w:p>
    <w:p w:rsidR="005F6D5D" w:rsidRPr="00071A5F" w:rsidRDefault="005F6D5D" w:rsidP="005F6D5D">
      <w:pPr>
        <w:spacing w:before="120"/>
        <w:ind w:firstLine="567"/>
        <w:jc w:val="both"/>
      </w:pPr>
      <w:r w:rsidRPr="00071A5F">
        <w:t>Нессельштраус</w:t>
      </w:r>
      <w:r>
        <w:t xml:space="preserve">, </w:t>
      </w:r>
      <w:r w:rsidRPr="00071A5F">
        <w:t>Ц. Г. Искусство раннего средневековья / Ц. Г. Нессельштраус. – СПб.: Азбука</w:t>
      </w:r>
      <w:r>
        <w:t xml:space="preserve">, </w:t>
      </w:r>
      <w:r w:rsidRPr="00071A5F">
        <w:t>2000. – 384 с.</w:t>
      </w:r>
    </w:p>
    <w:p w:rsidR="005F6D5D" w:rsidRPr="00071A5F" w:rsidRDefault="005F6D5D" w:rsidP="005F6D5D">
      <w:pPr>
        <w:spacing w:before="120"/>
        <w:ind w:firstLine="567"/>
        <w:jc w:val="both"/>
      </w:pPr>
      <w:r w:rsidRPr="00071A5F">
        <w:t>Пахомова</w:t>
      </w:r>
      <w:r>
        <w:t xml:space="preserve">, </w:t>
      </w:r>
      <w:r w:rsidRPr="00071A5F">
        <w:t>В. А. Графика Ганса Гольбейна Младшего / В. А. Пахомова. – Л.: Искуссво</w:t>
      </w:r>
      <w:r>
        <w:t xml:space="preserve">, </w:t>
      </w:r>
      <w:r w:rsidRPr="00071A5F">
        <w:t>1989. – 232 с.</w:t>
      </w:r>
    </w:p>
    <w:p w:rsidR="005F6D5D" w:rsidRPr="00071A5F" w:rsidRDefault="005F6D5D" w:rsidP="005F6D5D">
      <w:pPr>
        <w:spacing w:before="120"/>
        <w:ind w:firstLine="567"/>
        <w:jc w:val="both"/>
      </w:pPr>
      <w:r w:rsidRPr="00071A5F">
        <w:t>Покровский</w:t>
      </w:r>
      <w:r>
        <w:t xml:space="preserve">, </w:t>
      </w:r>
      <w:r w:rsidRPr="00071A5F">
        <w:t>Н. В. Очерки памятников православной иконографии и искусства / Н. В. Покровский. – СПб.</w:t>
      </w:r>
      <w:r>
        <w:t xml:space="preserve">, </w:t>
      </w:r>
      <w:r w:rsidRPr="00071A5F">
        <w:t>1894.</w:t>
      </w:r>
    </w:p>
    <w:p w:rsidR="005F6D5D" w:rsidRPr="00071A5F" w:rsidRDefault="005F6D5D" w:rsidP="005F6D5D">
      <w:pPr>
        <w:spacing w:before="120"/>
        <w:ind w:firstLine="567"/>
        <w:jc w:val="both"/>
      </w:pPr>
      <w:r w:rsidRPr="00071A5F">
        <w:t>Протасов</w:t>
      </w:r>
      <w:r>
        <w:t xml:space="preserve">, </w:t>
      </w:r>
      <w:r w:rsidRPr="00071A5F">
        <w:t>Н. Д. Материалы для иконографии Воскресения Спасителя / Н. Д. Протасов. – Сергиев Посад</w:t>
      </w:r>
      <w:r>
        <w:t xml:space="preserve">, </w:t>
      </w:r>
      <w:r w:rsidRPr="00071A5F">
        <w:t>1913.</w:t>
      </w:r>
    </w:p>
    <w:p w:rsidR="005F6D5D" w:rsidRPr="00071A5F" w:rsidRDefault="005F6D5D" w:rsidP="005F6D5D">
      <w:pPr>
        <w:spacing w:before="120"/>
        <w:ind w:firstLine="567"/>
        <w:jc w:val="both"/>
      </w:pPr>
      <w:r w:rsidRPr="00071A5F">
        <w:t>Смирнов</w:t>
      </w:r>
      <w:r>
        <w:t xml:space="preserve">, </w:t>
      </w:r>
      <w:r w:rsidRPr="00071A5F">
        <w:t>Е. И. История христианской Церкви / Е. И. Смирнов. – Свято-Троицкая Сергиева Лавра</w:t>
      </w:r>
      <w:r>
        <w:t xml:space="preserve">, </w:t>
      </w:r>
      <w:r w:rsidRPr="00071A5F">
        <w:t>1997.</w:t>
      </w:r>
    </w:p>
    <w:p w:rsidR="005F6D5D" w:rsidRPr="00071A5F" w:rsidRDefault="005F6D5D" w:rsidP="005F6D5D">
      <w:pPr>
        <w:spacing w:before="120"/>
        <w:ind w:firstLine="567"/>
        <w:jc w:val="both"/>
      </w:pPr>
      <w:r w:rsidRPr="00071A5F">
        <w:t>Тейс</w:t>
      </w:r>
      <w:r>
        <w:t xml:space="preserve">, </w:t>
      </w:r>
      <w:r w:rsidRPr="00071A5F">
        <w:t>Л. Наследие Каролингов. IX-X вв. / Л. Тейс. – М.: Скарабей</w:t>
      </w:r>
      <w:r>
        <w:t xml:space="preserve">, </w:t>
      </w:r>
      <w:r w:rsidRPr="00071A5F">
        <w:t>1993. – 272 с.</w:t>
      </w:r>
    </w:p>
    <w:p w:rsidR="005F6D5D" w:rsidRPr="00071A5F" w:rsidRDefault="005F6D5D" w:rsidP="005F6D5D">
      <w:pPr>
        <w:spacing w:before="120"/>
        <w:ind w:firstLine="567"/>
        <w:jc w:val="both"/>
      </w:pPr>
      <w:r w:rsidRPr="00071A5F">
        <w:t>Уваров</w:t>
      </w:r>
      <w:r>
        <w:t xml:space="preserve">, </w:t>
      </w:r>
      <w:r w:rsidRPr="00071A5F">
        <w:t>А. С. Христианская символика. Ч. 1. Символика древне-христианского периода / А. С. Уваров. – М.</w:t>
      </w:r>
      <w:r>
        <w:t xml:space="preserve">, </w:t>
      </w:r>
      <w:r w:rsidRPr="00071A5F">
        <w:t>1908.</w:t>
      </w:r>
    </w:p>
    <w:p w:rsidR="005F6D5D" w:rsidRPr="00071A5F" w:rsidRDefault="005F6D5D" w:rsidP="005F6D5D">
      <w:pPr>
        <w:spacing w:before="120"/>
        <w:ind w:firstLine="567"/>
        <w:jc w:val="both"/>
      </w:pPr>
      <w:r w:rsidRPr="00071A5F">
        <w:t>Уколова</w:t>
      </w:r>
      <w:r>
        <w:t xml:space="preserve">, </w:t>
      </w:r>
      <w:r w:rsidRPr="00071A5F">
        <w:t>В. И. Античное наследие и культура раннего средневековья / В. И. Уколова. – М.: Наука</w:t>
      </w:r>
      <w:r>
        <w:t xml:space="preserve">, </w:t>
      </w:r>
      <w:r w:rsidRPr="00071A5F">
        <w:t>1989.</w:t>
      </w:r>
    </w:p>
    <w:p w:rsidR="005F6D5D" w:rsidRPr="00071A5F" w:rsidRDefault="005F6D5D" w:rsidP="005F6D5D">
      <w:pPr>
        <w:spacing w:before="120"/>
        <w:ind w:firstLine="567"/>
        <w:jc w:val="both"/>
      </w:pPr>
      <w:r w:rsidRPr="00071A5F">
        <w:t>Флиттнер</w:t>
      </w:r>
      <w:r>
        <w:t xml:space="preserve">, </w:t>
      </w:r>
      <w:r w:rsidRPr="00071A5F">
        <w:t>Н. Д. Культура и искусство Двуречья / Н. Д. Флитнер. – Л.; М.: Искусство</w:t>
      </w:r>
      <w:r>
        <w:t xml:space="preserve">, </w:t>
      </w:r>
      <w:r w:rsidRPr="00071A5F">
        <w:t>1958. – 279 с.</w:t>
      </w:r>
    </w:p>
    <w:p w:rsidR="005F6D5D" w:rsidRPr="00071A5F" w:rsidRDefault="005F6D5D" w:rsidP="005F6D5D">
      <w:pPr>
        <w:spacing w:before="120"/>
        <w:ind w:firstLine="567"/>
        <w:jc w:val="both"/>
      </w:pPr>
      <w:r w:rsidRPr="00071A5F">
        <w:t>Шкунаев</w:t>
      </w:r>
      <w:r>
        <w:t xml:space="preserve">, </w:t>
      </w:r>
      <w:r w:rsidRPr="00071A5F">
        <w:t>С. В. Средневековая ирландская миниатюра // Панорама искусств-6. Эпохи</w:t>
      </w:r>
      <w:r>
        <w:t xml:space="preserve">, </w:t>
      </w:r>
      <w:r w:rsidRPr="00071A5F">
        <w:t>страны</w:t>
      </w:r>
      <w:r>
        <w:t xml:space="preserve">, </w:t>
      </w:r>
      <w:r w:rsidRPr="00071A5F">
        <w:t>художники. – М.: Советский художник</w:t>
      </w:r>
      <w:r>
        <w:t xml:space="preserve">, </w:t>
      </w:r>
      <w:r w:rsidRPr="00071A5F">
        <w:t>1983. – С. 85-106.</w:t>
      </w:r>
    </w:p>
    <w:p w:rsidR="005F6D5D" w:rsidRPr="00071A5F" w:rsidRDefault="005F6D5D" w:rsidP="005F6D5D">
      <w:pPr>
        <w:spacing w:before="120"/>
        <w:ind w:firstLine="567"/>
        <w:jc w:val="both"/>
      </w:pPr>
      <w:r w:rsidRPr="00071A5F">
        <w:t>Эрши</w:t>
      </w:r>
      <w:r>
        <w:t xml:space="preserve">, </w:t>
      </w:r>
      <w:r w:rsidRPr="00071A5F">
        <w:t>А. Живопись интернациональной готики / А. Эрши. – Будапешт: Корвина</w:t>
      </w:r>
      <w:r>
        <w:t xml:space="preserve">, </w:t>
      </w:r>
      <w:r w:rsidRPr="00071A5F">
        <w:t>1984.</w:t>
      </w:r>
    </w:p>
    <w:p w:rsidR="005F6D5D" w:rsidRPr="00071A5F" w:rsidRDefault="005F6D5D" w:rsidP="005F6D5D">
      <w:pPr>
        <w:spacing w:before="120"/>
        <w:ind w:firstLine="567"/>
        <w:jc w:val="both"/>
        <w:rPr>
          <w:lang w:val="en-US"/>
        </w:rPr>
      </w:pPr>
      <w:r w:rsidRPr="00071A5F">
        <w:rPr>
          <w:lang w:val="en-US"/>
        </w:rPr>
        <w:t xml:space="preserve">Beckwith, J. Early Medieval Art / J. Beckwith. – </w:t>
      </w:r>
      <w:smartTag w:uri="urn:schemas-microsoft-com:office:smarttags" w:element="City">
        <w:smartTag w:uri="urn:schemas-microsoft-com:office:smarttags" w:element="place">
          <w:r w:rsidRPr="00071A5F">
            <w:rPr>
              <w:lang w:val="en-US"/>
            </w:rPr>
            <w:t>London</w:t>
          </w:r>
        </w:smartTag>
      </w:smartTag>
      <w:r w:rsidRPr="00071A5F">
        <w:rPr>
          <w:lang w:val="en-US"/>
        </w:rPr>
        <w:t>: Thames &amp; Hudson, 1996. – 270 p.</w:t>
      </w:r>
    </w:p>
    <w:p w:rsidR="005F6D5D" w:rsidRPr="00071A5F" w:rsidRDefault="005F6D5D" w:rsidP="005F6D5D">
      <w:pPr>
        <w:spacing w:before="120"/>
        <w:ind w:firstLine="567"/>
        <w:jc w:val="both"/>
        <w:rPr>
          <w:lang w:val="en-US"/>
        </w:rPr>
      </w:pPr>
      <w:r w:rsidRPr="00071A5F">
        <w:rPr>
          <w:lang w:val="en-US"/>
        </w:rPr>
        <w:t>Buschausen, H. Byzantinische Mosaiken aus Jordanien / H. Buschausen, J. Balty, P. M. Piccirillo. – Wien, 1986.</w:t>
      </w:r>
    </w:p>
    <w:p w:rsidR="005F6D5D" w:rsidRPr="00071A5F" w:rsidRDefault="005F6D5D" w:rsidP="005F6D5D">
      <w:pPr>
        <w:spacing w:before="120"/>
        <w:ind w:firstLine="567"/>
        <w:jc w:val="both"/>
        <w:rPr>
          <w:lang w:val="en-US"/>
        </w:rPr>
      </w:pPr>
      <w:r w:rsidRPr="00071A5F">
        <w:rPr>
          <w:lang w:val="en-US"/>
        </w:rPr>
        <w:t xml:space="preserve">Lavin, I. The Hunting Mosaics of </w:t>
      </w:r>
      <w:smartTag w:uri="urn:schemas-microsoft-com:office:smarttags" w:element="City">
        <w:smartTag w:uri="urn:schemas-microsoft-com:office:smarttags" w:element="place">
          <w:r w:rsidRPr="00071A5F">
            <w:rPr>
              <w:lang w:val="en-US"/>
            </w:rPr>
            <w:t>Antioch</w:t>
          </w:r>
        </w:smartTag>
      </w:smartTag>
      <w:r w:rsidRPr="00071A5F">
        <w:rPr>
          <w:lang w:val="en-US"/>
        </w:rPr>
        <w:t xml:space="preserve"> &amp; Their Sources // Dumbarton Oaks Papers, 17. – </w:t>
      </w:r>
      <w:smartTag w:uri="urn:schemas-microsoft-com:office:smarttags" w:element="State">
        <w:smartTag w:uri="urn:schemas-microsoft-com:office:smarttags" w:element="place">
          <w:r w:rsidRPr="00071A5F">
            <w:rPr>
              <w:lang w:val="en-US"/>
            </w:rPr>
            <w:t>Washington</w:t>
          </w:r>
        </w:smartTag>
      </w:smartTag>
      <w:r w:rsidRPr="00071A5F">
        <w:rPr>
          <w:lang w:val="en-US"/>
        </w:rPr>
        <w:t>, 1963. – P. 179-286.</w:t>
      </w:r>
    </w:p>
    <w:p w:rsidR="005F6D5D" w:rsidRPr="00071A5F" w:rsidRDefault="005F6D5D" w:rsidP="005F6D5D">
      <w:pPr>
        <w:spacing w:before="120"/>
        <w:ind w:firstLine="567"/>
        <w:jc w:val="both"/>
        <w:rPr>
          <w:lang w:val="en-US"/>
        </w:rPr>
      </w:pPr>
      <w:r w:rsidRPr="00071A5F">
        <w:rPr>
          <w:lang w:val="en-US"/>
        </w:rPr>
        <w:t xml:space="preserve">Levi, D. </w:t>
      </w:r>
      <w:smartTag w:uri="urn:schemas-microsoft-com:office:smarttags" w:element="City">
        <w:smartTag w:uri="urn:schemas-microsoft-com:office:smarttags" w:element="place">
          <w:r w:rsidRPr="00071A5F">
            <w:rPr>
              <w:lang w:val="en-US"/>
            </w:rPr>
            <w:t>Antioch</w:t>
          </w:r>
        </w:smartTag>
      </w:smartTag>
      <w:r w:rsidRPr="00071A5F">
        <w:rPr>
          <w:lang w:val="en-US"/>
        </w:rPr>
        <w:t xml:space="preserve"> Mosaic Pavements / D. Levi. – Princeton, </w:t>
      </w:r>
      <w:smartTag w:uri="urn:schemas-microsoft-com:office:smarttags" w:element="City">
        <w:r w:rsidRPr="00071A5F">
          <w:rPr>
            <w:lang w:val="en-US"/>
          </w:rPr>
          <w:t>London</w:t>
        </w:r>
      </w:smartTag>
      <w:r w:rsidRPr="00071A5F">
        <w:rPr>
          <w:lang w:val="en-US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071A5F">
            <w:rPr>
              <w:lang w:val="en-US"/>
            </w:rPr>
            <w:t>The Hague</w:t>
          </w:r>
        </w:smartTag>
      </w:smartTag>
      <w:r w:rsidRPr="00071A5F">
        <w:rPr>
          <w:lang w:val="en-US"/>
        </w:rPr>
        <w:t>, 1947.</w:t>
      </w:r>
    </w:p>
    <w:p w:rsidR="005F6D5D" w:rsidRPr="00071A5F" w:rsidRDefault="005F6D5D" w:rsidP="005F6D5D">
      <w:pPr>
        <w:spacing w:before="120"/>
        <w:ind w:firstLine="567"/>
        <w:jc w:val="both"/>
        <w:rPr>
          <w:lang w:val="en-US"/>
        </w:rPr>
      </w:pPr>
      <w:r w:rsidRPr="00071A5F">
        <w:rPr>
          <w:lang w:val="en-US"/>
        </w:rPr>
        <w:t xml:space="preserve">Muños, </w:t>
      </w:r>
      <w:r w:rsidRPr="00071A5F">
        <w:t>А</w:t>
      </w:r>
      <w:r w:rsidRPr="00071A5F">
        <w:rPr>
          <w:lang w:val="en-US"/>
        </w:rPr>
        <w:t>. Il Codice Purpureo di Rossano e il Frammento Sinopense / A. Muños. – Roma, 1907.</w:t>
      </w:r>
    </w:p>
    <w:p w:rsidR="005F6D5D" w:rsidRPr="00071A5F" w:rsidRDefault="005F6D5D" w:rsidP="005F6D5D">
      <w:pPr>
        <w:spacing w:before="120"/>
        <w:ind w:firstLine="567"/>
        <w:jc w:val="both"/>
        <w:rPr>
          <w:lang w:val="en-US"/>
        </w:rPr>
      </w:pPr>
      <w:r w:rsidRPr="00071A5F">
        <w:rPr>
          <w:lang w:val="en-US"/>
        </w:rPr>
        <w:t xml:space="preserve">Hutter, I. Early Christian &amp; Byzantine Art / </w:t>
      </w:r>
      <w:smartTag w:uri="urn:schemas-microsoft-com:office:smarttags" w:element="place">
        <w:r w:rsidRPr="00071A5F">
          <w:rPr>
            <w:lang w:val="en-US"/>
          </w:rPr>
          <w:t>I.</w:t>
        </w:r>
      </w:smartTag>
      <w:r w:rsidRPr="00071A5F">
        <w:rPr>
          <w:lang w:val="en-US"/>
        </w:rPr>
        <w:t xml:space="preserve"> Hutter. – </w:t>
      </w:r>
      <w:smartTag w:uri="urn:schemas-microsoft-com:office:smarttags" w:element="City">
        <w:smartTag w:uri="urn:schemas-microsoft-com:office:smarttags" w:element="place">
          <w:r w:rsidRPr="00071A5F">
            <w:rPr>
              <w:lang w:val="en-US"/>
            </w:rPr>
            <w:t>London</w:t>
          </w:r>
        </w:smartTag>
      </w:smartTag>
      <w:r w:rsidRPr="00071A5F">
        <w:rPr>
          <w:lang w:val="en-US"/>
        </w:rPr>
        <w:t>, 1971.</w:t>
      </w:r>
    </w:p>
    <w:p w:rsidR="005F6D5D" w:rsidRPr="00071A5F" w:rsidRDefault="005F6D5D" w:rsidP="005F6D5D">
      <w:pPr>
        <w:spacing w:before="120"/>
        <w:ind w:firstLine="567"/>
        <w:jc w:val="both"/>
        <w:rPr>
          <w:lang w:val="en-US"/>
        </w:rPr>
      </w:pPr>
      <w:r w:rsidRPr="00071A5F">
        <w:rPr>
          <w:lang w:val="en-US"/>
        </w:rPr>
        <w:t xml:space="preserve">Rice, D.T. Art of the Byzantine Era. – </w:t>
      </w:r>
      <w:smartTag w:uri="urn:schemas-microsoft-com:office:smarttags" w:element="City">
        <w:smartTag w:uri="urn:schemas-microsoft-com:office:smarttags" w:element="place">
          <w:r w:rsidRPr="00071A5F">
            <w:rPr>
              <w:lang w:val="en-US"/>
            </w:rPr>
            <w:t>London</w:t>
          </w:r>
        </w:smartTag>
      </w:smartTag>
      <w:r w:rsidRPr="00071A5F">
        <w:rPr>
          <w:lang w:val="en-US"/>
        </w:rPr>
        <w:t>, Thames &amp; Hudson, 1997. – 286 p.</w:t>
      </w:r>
    </w:p>
    <w:p w:rsidR="005F6D5D" w:rsidRPr="00071A5F" w:rsidRDefault="005F6D5D" w:rsidP="005F6D5D">
      <w:pPr>
        <w:spacing w:before="120"/>
        <w:ind w:firstLine="567"/>
        <w:jc w:val="both"/>
        <w:rPr>
          <w:lang w:val="en-US"/>
        </w:rPr>
      </w:pPr>
      <w:r w:rsidRPr="00071A5F">
        <w:rPr>
          <w:lang w:val="en-US"/>
        </w:rPr>
        <w:t xml:space="preserve">Sullivan, E. The Book of Kells / E. Sullivan. – </w:t>
      </w:r>
      <w:smartTag w:uri="urn:schemas-microsoft-com:office:smarttags" w:element="City">
        <w:smartTag w:uri="urn:schemas-microsoft-com:office:smarttags" w:element="place">
          <w:r w:rsidRPr="00071A5F">
            <w:rPr>
              <w:lang w:val="en-US"/>
            </w:rPr>
            <w:t>London</w:t>
          </w:r>
        </w:smartTag>
      </w:smartTag>
      <w:r w:rsidRPr="00071A5F">
        <w:rPr>
          <w:lang w:val="en-US"/>
        </w:rPr>
        <w:t>, 1914.</w:t>
      </w:r>
    </w:p>
    <w:p w:rsidR="005F6D5D" w:rsidRPr="00071A5F" w:rsidRDefault="005F6D5D" w:rsidP="005F6D5D">
      <w:pPr>
        <w:spacing w:before="120"/>
        <w:ind w:firstLine="567"/>
        <w:jc w:val="both"/>
        <w:rPr>
          <w:lang w:val="en-US"/>
        </w:rPr>
      </w:pPr>
      <w:r w:rsidRPr="00071A5F">
        <w:rPr>
          <w:lang w:val="en-US"/>
        </w:rPr>
        <w:t>Williams, J. Early Spanish Manuscript Illumination / J. Williams. – N.Y., 1977.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6D5D"/>
    <w:rsid w:val="00071A5F"/>
    <w:rsid w:val="001A35F6"/>
    <w:rsid w:val="005F6D5D"/>
    <w:rsid w:val="00811DD4"/>
    <w:rsid w:val="00D81E04"/>
    <w:rsid w:val="00E1398C"/>
    <w:rsid w:val="00E7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F1EBD9B-9D72-477F-9C90-7DD7947AB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D5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2072</Words>
  <Characters>11817</Characters>
  <Application>Microsoft Office Word</Application>
  <DocSecurity>0</DocSecurity>
  <Lines>98</Lines>
  <Paragraphs>27</Paragraphs>
  <ScaleCrop>false</ScaleCrop>
  <Company>Home</Company>
  <LinksUpToDate>false</LinksUpToDate>
  <CharactersWithSpaces>13862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Ирландские иллюстрированные Евангелия VII-VIII вв</dc:title>
  <dc:subject/>
  <dc:creator>User</dc:creator>
  <cp:keywords/>
  <dc:description/>
  <cp:lastModifiedBy>Irina</cp:lastModifiedBy>
  <cp:revision>2</cp:revision>
  <dcterms:created xsi:type="dcterms:W3CDTF">2014-07-19T07:53:00Z</dcterms:created>
  <dcterms:modified xsi:type="dcterms:W3CDTF">2014-07-19T07:53:00Z</dcterms:modified>
</cp:coreProperties>
</file>